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9F" w:rsidRDefault="00C90E41" w:rsidP="0011769F">
      <w:pPr>
        <w:spacing w:before="60" w:after="60"/>
        <w:ind w:firstLine="567"/>
        <w:jc w:val="center"/>
        <w:rPr>
          <w:rFonts w:ascii="Times New Roman" w:eastAsia="Times New Roman" w:hAnsi="Times New Roman"/>
          <w:b/>
          <w:color w:val="000000" w:themeColor="text1"/>
          <w:sz w:val="28"/>
        </w:rPr>
      </w:pPr>
      <w:bookmarkStart w:id="0" w:name="page1"/>
      <w:bookmarkEnd w:id="0"/>
      <w:r w:rsidRPr="008C3331">
        <w:rPr>
          <w:rFonts w:ascii="Times New Roman" w:eastAsia="Times New Roman" w:hAnsi="Times New Roman"/>
          <w:b/>
          <w:color w:val="000000" w:themeColor="text1"/>
          <w:sz w:val="28"/>
        </w:rPr>
        <w:t>Chương III. TIÊU CHUẨN ĐÁNH GIÁ E-HSDT</w:t>
      </w:r>
    </w:p>
    <w:p w:rsidR="00F10F5D" w:rsidRDefault="00F10F5D" w:rsidP="00AF2498">
      <w:pPr>
        <w:spacing w:before="60" w:after="60"/>
        <w:ind w:firstLine="567"/>
        <w:jc w:val="both"/>
        <w:rPr>
          <w:rFonts w:ascii="Times New Roman" w:eastAsia="Times New Roman" w:hAnsi="Times New Roman"/>
          <w:b/>
          <w:color w:val="000000" w:themeColor="text1"/>
          <w:sz w:val="28"/>
        </w:rPr>
      </w:pPr>
    </w:p>
    <w:p w:rsidR="00AF2498" w:rsidRPr="008C3331" w:rsidRDefault="00AF2498" w:rsidP="00AF2498">
      <w:pPr>
        <w:spacing w:before="60" w:after="60"/>
        <w:ind w:firstLine="567"/>
        <w:jc w:val="both"/>
        <w:rPr>
          <w:rFonts w:ascii="Times New Roman" w:eastAsia="Times New Roman" w:hAnsi="Times New Roman"/>
          <w:b/>
          <w:color w:val="000000" w:themeColor="text1"/>
          <w:sz w:val="28"/>
        </w:rPr>
      </w:pPr>
      <w:r w:rsidRPr="008C3331">
        <w:rPr>
          <w:rFonts w:ascii="Times New Roman" w:eastAsia="Times New Roman" w:hAnsi="Times New Roman"/>
          <w:b/>
          <w:color w:val="000000" w:themeColor="text1"/>
          <w:sz w:val="28"/>
        </w:rPr>
        <w:t>Mục 1. Đánh giá tính hợp lệ của E-HSĐXKT</w:t>
      </w:r>
    </w:p>
    <w:p w:rsidR="00AF2498" w:rsidRPr="008C3331" w:rsidRDefault="00AF2498" w:rsidP="00AF2498">
      <w:pPr>
        <w:spacing w:line="20" w:lineRule="exact"/>
        <w:ind w:firstLine="567"/>
        <w:jc w:val="both"/>
        <w:rPr>
          <w:rFonts w:ascii="Times New Roman" w:eastAsia="Times New Roman" w:hAnsi="Times New Roman"/>
          <w:color w:val="000000" w:themeColor="text1"/>
          <w:sz w:val="24"/>
        </w:rPr>
      </w:pPr>
    </w:p>
    <w:p w:rsidR="009F1378" w:rsidRPr="009F1378" w:rsidRDefault="009F1378" w:rsidP="009F1378">
      <w:pPr>
        <w:spacing w:before="60" w:after="60"/>
        <w:ind w:firstLine="567"/>
        <w:jc w:val="both"/>
        <w:rPr>
          <w:rFonts w:ascii="Times New Roman" w:eastAsia="Times New Roman" w:hAnsi="Times New Roman"/>
          <w:color w:val="000000" w:themeColor="text1"/>
          <w:sz w:val="28"/>
        </w:rPr>
      </w:pPr>
      <w:r w:rsidRPr="009F1378">
        <w:rPr>
          <w:rFonts w:ascii="Times New Roman" w:eastAsia="Times New Roman" w:hAnsi="Times New Roman"/>
          <w:color w:val="000000" w:themeColor="text1"/>
          <w:sz w:val="28"/>
        </w:rPr>
        <w:t>E- HSĐXKTcủa nhà thầu được đánh giá là hợp lệ khi đáp ứng đầy đủ các nội dung sau đây:</w:t>
      </w:r>
    </w:p>
    <w:p w:rsidR="009F1378" w:rsidRPr="009F1378" w:rsidRDefault="009F1378" w:rsidP="009F1378">
      <w:pPr>
        <w:spacing w:before="60" w:after="60"/>
        <w:ind w:firstLine="567"/>
        <w:jc w:val="both"/>
        <w:rPr>
          <w:rFonts w:ascii="Times New Roman" w:eastAsia="Times New Roman" w:hAnsi="Times New Roman"/>
          <w:color w:val="000000" w:themeColor="text1"/>
          <w:sz w:val="28"/>
        </w:rPr>
      </w:pPr>
      <w:r w:rsidRPr="009F1378">
        <w:rPr>
          <w:rFonts w:ascii="Times New Roman" w:eastAsia="Times New Roman" w:hAnsi="Times New Roman"/>
          <w:color w:val="000000" w:themeColor="text1"/>
          <w:sz w:val="28"/>
        </w:rPr>
        <w:t>1. Không có tên trong hai hoặc nhiều E-HSDT với tư cách là nhà thầu chính (nhà thầu độc lập hoặc thành viên trong liên danh) đối với cùng một gói thầu.</w:t>
      </w:r>
    </w:p>
    <w:p w:rsidR="009F1378" w:rsidRPr="009F1378" w:rsidRDefault="009F1378" w:rsidP="009F1378">
      <w:pPr>
        <w:spacing w:before="60" w:after="60"/>
        <w:ind w:firstLine="567"/>
        <w:jc w:val="both"/>
        <w:rPr>
          <w:rFonts w:ascii="Times New Roman" w:eastAsia="Times New Roman" w:hAnsi="Times New Roman"/>
          <w:color w:val="000000" w:themeColor="text1"/>
          <w:sz w:val="28"/>
        </w:rPr>
      </w:pPr>
      <w:r w:rsidRPr="009F1378">
        <w:rPr>
          <w:rFonts w:ascii="Times New Roman" w:eastAsia="Times New Roman" w:hAnsi="Times New Roman"/>
          <w:color w:val="000000" w:themeColor="text1"/>
          <w:sz w:val="28"/>
        </w:rPr>
        <w:t>2. Có thỏa thuận liên danh được đại diện hợp pháp của từng thành viên liên danh ký tên, đóng dấu (nếu có). Trong thỏa thuận liên danh phải nêu rõ nội dung công việc cụ thể, ước tính giá trị tương ứng mà từng thành viên trong liên danh sẽ thực hiện, trách nhiệm của thành viên đại diện liên danh sử dụng chứng thư số của mình để tham dự thầu;</w:t>
      </w:r>
    </w:p>
    <w:p w:rsidR="009F1378" w:rsidRPr="009F1378" w:rsidRDefault="009F1378" w:rsidP="009F1378">
      <w:pPr>
        <w:spacing w:before="60" w:after="60"/>
        <w:ind w:firstLine="567"/>
        <w:jc w:val="both"/>
        <w:rPr>
          <w:rFonts w:ascii="Times New Roman" w:eastAsia="Times New Roman" w:hAnsi="Times New Roman"/>
          <w:color w:val="000000" w:themeColor="text1"/>
          <w:sz w:val="28"/>
        </w:rPr>
      </w:pPr>
      <w:r w:rsidRPr="009F1378">
        <w:rPr>
          <w:rFonts w:ascii="Times New Roman" w:eastAsia="Times New Roman" w:hAnsi="Times New Roman"/>
          <w:color w:val="000000" w:themeColor="text1"/>
          <w:sz w:val="28"/>
        </w:rPr>
        <w:t>Trường hợp có sự sai khác giữa thông tin về thỏa thuận liên danh mà nhà thầu kê khai trên Hệ thống và thông tin trong file quét (scan) thỏa thuận liên danh thì căn cứ vào thông tin trong file quét (scan) thỏa thuận liên danh để đánh giá.</w:t>
      </w:r>
    </w:p>
    <w:p w:rsidR="00AF2498" w:rsidRPr="008C3331" w:rsidRDefault="009F1378" w:rsidP="009F1378">
      <w:pPr>
        <w:spacing w:before="60" w:after="60"/>
        <w:ind w:firstLine="567"/>
        <w:jc w:val="both"/>
        <w:rPr>
          <w:rFonts w:ascii="Times New Roman" w:eastAsia="Times New Roman" w:hAnsi="Times New Roman"/>
          <w:color w:val="000000" w:themeColor="text1"/>
          <w:sz w:val="28"/>
        </w:rPr>
      </w:pPr>
      <w:r w:rsidRPr="009F1378">
        <w:rPr>
          <w:rFonts w:ascii="Times New Roman" w:eastAsia="Times New Roman" w:hAnsi="Times New Roman"/>
          <w:color w:val="000000" w:themeColor="text1"/>
          <w:sz w:val="28"/>
        </w:rPr>
        <w:t>3. Nhà thầu bảo đảm tư cách hợp lệ theo quy định tại Mục 5 E-CDNT</w:t>
      </w:r>
      <w:r w:rsidR="00AF2498" w:rsidRPr="008C3331">
        <w:rPr>
          <w:rFonts w:ascii="Times New Roman" w:eastAsia="Times New Roman" w:hAnsi="Times New Roman"/>
          <w:color w:val="000000" w:themeColor="text1"/>
          <w:sz w:val="28"/>
        </w:rPr>
        <w:t>.</w:t>
      </w:r>
    </w:p>
    <w:p w:rsidR="00AF2498" w:rsidRPr="008C3331" w:rsidRDefault="00AF2498" w:rsidP="00AF2498">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4. </w:t>
      </w:r>
      <w:r w:rsidRPr="008C3331">
        <w:rPr>
          <w:rFonts w:ascii="Times New Roman" w:eastAsia="Times New Roman" w:hAnsi="Times New Roman"/>
          <w:color w:val="000000" w:themeColor="text1"/>
          <w:sz w:val="28"/>
        </w:rPr>
        <w:t>Có đủ điều kiện năng lực hoạt động theo quy định của pháp luật chuyên ngành: Chứng chỉ năng lực hoạt động xây dựng Lập Quy hoạch xây dựng hạng II trở lên.</w:t>
      </w:r>
    </w:p>
    <w:p w:rsidR="00C90E41" w:rsidRPr="008C3331" w:rsidRDefault="00AF2498" w:rsidP="00D65DC2">
      <w:pPr>
        <w:spacing w:before="60" w:after="60"/>
        <w:ind w:firstLine="567"/>
        <w:jc w:val="both"/>
        <w:rPr>
          <w:rFonts w:ascii="Times New Roman" w:eastAsia="Times New Roman" w:hAnsi="Times New Roman"/>
          <w:color w:val="000000" w:themeColor="text1"/>
          <w:sz w:val="28"/>
        </w:rPr>
      </w:pPr>
      <w:r w:rsidRPr="004D2C7B">
        <w:rPr>
          <w:rFonts w:ascii="Times New Roman" w:eastAsia="Times New Roman" w:hAnsi="Times New Roman"/>
          <w:color w:val="000000" w:themeColor="text1"/>
          <w:sz w:val="28"/>
        </w:rPr>
        <w:t>Nhà thầu có E-HSDT hợp lệ được xem xét, đánh giá trong các bước tiếp theo</w:t>
      </w:r>
      <w:r w:rsidRPr="008C3331">
        <w:rPr>
          <w:rFonts w:ascii="Times New Roman" w:eastAsia="Times New Roman" w:hAnsi="Times New Roman"/>
          <w:color w:val="000000" w:themeColor="text1"/>
          <w:sz w:val="28"/>
        </w:rPr>
        <w:t>.</w:t>
      </w:r>
    </w:p>
    <w:p w:rsidR="00C90E41" w:rsidRPr="008C3331" w:rsidRDefault="00C90E41" w:rsidP="0011769F">
      <w:pPr>
        <w:spacing w:before="60" w:after="60"/>
        <w:ind w:firstLine="567"/>
        <w:jc w:val="both"/>
        <w:rPr>
          <w:rFonts w:ascii="Times New Roman" w:eastAsia="Times New Roman" w:hAnsi="Times New Roman"/>
          <w:b/>
          <w:color w:val="000000" w:themeColor="text1"/>
          <w:sz w:val="28"/>
        </w:rPr>
      </w:pPr>
      <w:r w:rsidRPr="008C3331">
        <w:rPr>
          <w:rFonts w:ascii="Times New Roman" w:eastAsia="Times New Roman" w:hAnsi="Times New Roman"/>
          <w:b/>
          <w:color w:val="000000" w:themeColor="text1"/>
          <w:sz w:val="28"/>
        </w:rPr>
        <w:t xml:space="preserve">Mục 2. </w:t>
      </w:r>
      <w:r w:rsidR="00F10F5D">
        <w:rPr>
          <w:rFonts w:ascii="Times New Roman" w:eastAsia="Times New Roman" w:hAnsi="Times New Roman"/>
          <w:b/>
          <w:color w:val="000000" w:themeColor="text1"/>
          <w:sz w:val="28"/>
        </w:rPr>
        <w:t>Tiêu chuẩn đánh giá về kỹ thuật</w:t>
      </w:r>
    </w:p>
    <w:p w:rsidR="00C90E41" w:rsidRPr="008C3331" w:rsidRDefault="00C90E41" w:rsidP="001B3593">
      <w:pPr>
        <w:spacing w:line="6" w:lineRule="exact"/>
        <w:jc w:val="both"/>
        <w:rPr>
          <w:rFonts w:ascii="Times New Roman" w:eastAsia="Times New Roman" w:hAnsi="Times New Roman"/>
          <w:color w:val="000000" w:themeColor="text1"/>
        </w:rPr>
      </w:pPr>
    </w:p>
    <w:p w:rsidR="00966324" w:rsidRDefault="00966324" w:rsidP="0011769F">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Việc đánh giá về kỹ thuật đối với từng HSDT được thực hiện theo phương pháp chấm điểm 100, bao gồm các nội dung sau đây:</w:t>
      </w:r>
    </w:p>
    <w:p w:rsidR="00D87837" w:rsidRPr="008C3331" w:rsidRDefault="00D87837" w:rsidP="00D87837">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Pr="008C3331">
        <w:rPr>
          <w:rFonts w:ascii="Times New Roman" w:eastAsia="Times New Roman" w:hAnsi="Times New Roman"/>
          <w:color w:val="000000" w:themeColor="text1"/>
          <w:sz w:val="28"/>
        </w:rPr>
        <w:t xml:space="preserve">Kinh nghiệm và năng lực của nhà thầu (20% tổng số điểm): </w:t>
      </w:r>
      <w:r>
        <w:rPr>
          <w:rFonts w:ascii="Times New Roman" w:eastAsia="Times New Roman" w:hAnsi="Times New Roman"/>
          <w:color w:val="000000" w:themeColor="text1"/>
          <w:sz w:val="28"/>
        </w:rPr>
        <w:t>20 điểm.</w:t>
      </w:r>
    </w:p>
    <w:p w:rsidR="00D87837" w:rsidRPr="008C3331" w:rsidRDefault="00D87837" w:rsidP="00D87837">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Pr="008C3331">
        <w:rPr>
          <w:rFonts w:ascii="Times New Roman" w:eastAsia="Times New Roman" w:hAnsi="Times New Roman"/>
          <w:color w:val="000000" w:themeColor="text1"/>
          <w:sz w:val="28"/>
        </w:rPr>
        <w:t xml:space="preserve">Giải pháp và phương pháp luận (30% tổng số điểm): </w:t>
      </w:r>
      <w:r>
        <w:rPr>
          <w:rFonts w:ascii="Times New Roman" w:eastAsia="Times New Roman" w:hAnsi="Times New Roman"/>
          <w:color w:val="000000" w:themeColor="text1"/>
          <w:sz w:val="28"/>
        </w:rPr>
        <w:t>30 điểm.</w:t>
      </w:r>
    </w:p>
    <w:p w:rsidR="00D87837" w:rsidRPr="008C3331" w:rsidRDefault="00D87837" w:rsidP="00D87837">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Pr="008C3331">
        <w:rPr>
          <w:rFonts w:ascii="Times New Roman" w:eastAsia="Times New Roman" w:hAnsi="Times New Roman"/>
          <w:color w:val="000000" w:themeColor="text1"/>
          <w:sz w:val="28"/>
        </w:rPr>
        <w:t xml:space="preserve">Nhân sự (50% tổng số điểm): </w:t>
      </w:r>
      <w:r>
        <w:rPr>
          <w:rFonts w:ascii="Times New Roman" w:eastAsia="Times New Roman" w:hAnsi="Times New Roman"/>
          <w:color w:val="000000" w:themeColor="text1"/>
          <w:sz w:val="28"/>
        </w:rPr>
        <w:t>50 điểm.</w:t>
      </w:r>
    </w:p>
    <w:p w:rsidR="00C90E41" w:rsidRPr="008C3331" w:rsidRDefault="00C90E41" w:rsidP="00C90E41">
      <w:pPr>
        <w:spacing w:line="172" w:lineRule="exact"/>
        <w:rPr>
          <w:rFonts w:ascii="Times New Roman" w:eastAsia="Times New Roman" w:hAnsi="Times New Roman"/>
          <w:color w:val="000000" w:themeColor="text1"/>
        </w:rPr>
      </w:pPr>
    </w:p>
    <w:tbl>
      <w:tblPr>
        <w:tblW w:w="9630" w:type="dxa"/>
        <w:tblInd w:w="10" w:type="dxa"/>
        <w:tblLayout w:type="fixed"/>
        <w:tblCellMar>
          <w:left w:w="0" w:type="dxa"/>
          <w:right w:w="0" w:type="dxa"/>
        </w:tblCellMar>
        <w:tblLook w:val="0000" w:firstRow="0" w:lastRow="0" w:firstColumn="0" w:lastColumn="0" w:noHBand="0" w:noVBand="0"/>
      </w:tblPr>
      <w:tblGrid>
        <w:gridCol w:w="540"/>
        <w:gridCol w:w="5580"/>
        <w:gridCol w:w="1170"/>
        <w:gridCol w:w="1170"/>
        <w:gridCol w:w="1170"/>
      </w:tblGrid>
      <w:tr w:rsidR="00C66E22" w:rsidRPr="008C3331" w:rsidTr="00D416D5">
        <w:trPr>
          <w:trHeight w:val="1252"/>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66E22" w:rsidRPr="00621CDB" w:rsidRDefault="00C66E22" w:rsidP="00C66E22">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b/>
                <w:color w:val="000000" w:themeColor="text1"/>
                <w:w w:val="99"/>
                <w:sz w:val="28"/>
              </w:rPr>
              <w:t>Stt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C66E22" w:rsidRPr="00621CDB" w:rsidRDefault="00C66E22" w:rsidP="00C66E22">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b/>
                <w:color w:val="000000" w:themeColor="text1"/>
                <w:sz w:val="28"/>
              </w:rPr>
              <w:t>Tiêu chuẩn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66E22" w:rsidRPr="00621CDB" w:rsidRDefault="00C66E22" w:rsidP="00C66E22">
            <w:pPr>
              <w:spacing w:line="313" w:lineRule="exact"/>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Điểm</w:t>
            </w:r>
          </w:p>
          <w:p w:rsidR="00C66E22" w:rsidRPr="00621CDB" w:rsidRDefault="00C66E22" w:rsidP="00C66E22">
            <w:pPr>
              <w:spacing w:line="0" w:lineRule="atLeast"/>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tối đa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66E22" w:rsidRPr="00621CDB" w:rsidRDefault="00C66E22" w:rsidP="00C66E22">
            <w:pPr>
              <w:spacing w:line="313" w:lineRule="exact"/>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Thang điểm chi tiết</w:t>
            </w:r>
          </w:p>
        </w:tc>
        <w:tc>
          <w:tcPr>
            <w:tcW w:w="1170" w:type="dxa"/>
            <w:tcBorders>
              <w:top w:val="single" w:sz="4" w:space="0" w:color="auto"/>
              <w:left w:val="single" w:sz="4" w:space="0" w:color="auto"/>
              <w:bottom w:val="single" w:sz="4" w:space="0" w:color="auto"/>
              <w:right w:val="single" w:sz="4" w:space="0" w:color="auto"/>
            </w:tcBorders>
            <w:vAlign w:val="center"/>
          </w:tcPr>
          <w:p w:rsidR="00C66E22" w:rsidRPr="00621CDB" w:rsidRDefault="001B3593" w:rsidP="00C66E22">
            <w:pPr>
              <w:spacing w:line="313" w:lineRule="exact"/>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 xml:space="preserve">Điểm </w:t>
            </w:r>
            <w:r w:rsidR="00C66E22" w:rsidRPr="00621CDB">
              <w:rPr>
                <w:rFonts w:ascii="Times New Roman" w:eastAsia="Times New Roman" w:hAnsi="Times New Roman"/>
                <w:b/>
                <w:color w:val="000000" w:themeColor="text1"/>
                <w:sz w:val="28"/>
              </w:rPr>
              <w:t>yêu cầu tối</w:t>
            </w:r>
          </w:p>
          <w:p w:rsidR="00C66E22" w:rsidRPr="00621CDB" w:rsidRDefault="00C66E22" w:rsidP="00C66E22">
            <w:pPr>
              <w:spacing w:line="313" w:lineRule="exact"/>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w w:val="98"/>
                <w:sz w:val="28"/>
              </w:rPr>
              <w:t>thiểu</w:t>
            </w:r>
          </w:p>
        </w:tc>
      </w:tr>
      <w:tr w:rsidR="00090456" w:rsidRPr="008C3331" w:rsidTr="002D5879">
        <w:trPr>
          <w:trHeight w:val="311"/>
        </w:trPr>
        <w:tc>
          <w:tcPr>
            <w:tcW w:w="540" w:type="dxa"/>
            <w:tcBorders>
              <w:top w:val="single" w:sz="4" w:space="0" w:color="auto"/>
              <w:left w:val="single" w:sz="8" w:space="0" w:color="auto"/>
              <w:bottom w:val="single" w:sz="8" w:space="0" w:color="auto"/>
              <w:right w:val="single" w:sz="8" w:space="0" w:color="auto"/>
            </w:tcBorders>
            <w:shd w:val="clear" w:color="auto" w:fill="auto"/>
            <w:vAlign w:val="bottom"/>
          </w:tcPr>
          <w:p w:rsidR="00090456" w:rsidRPr="00621CDB" w:rsidRDefault="00090456" w:rsidP="002A51D8">
            <w:pPr>
              <w:spacing w:line="310" w:lineRule="exact"/>
              <w:jc w:val="center"/>
              <w:rPr>
                <w:rFonts w:ascii="Times New Roman" w:eastAsia="Times New Roman" w:hAnsi="Times New Roman"/>
                <w:b/>
                <w:color w:val="000000" w:themeColor="text1"/>
                <w:w w:val="99"/>
                <w:sz w:val="28"/>
              </w:rPr>
            </w:pPr>
            <w:r w:rsidRPr="00621CDB">
              <w:rPr>
                <w:rFonts w:ascii="Times New Roman" w:eastAsia="Times New Roman" w:hAnsi="Times New Roman"/>
                <w:b/>
                <w:color w:val="000000" w:themeColor="text1"/>
                <w:w w:val="99"/>
                <w:sz w:val="28"/>
              </w:rPr>
              <w:t>1</w:t>
            </w:r>
          </w:p>
        </w:tc>
        <w:tc>
          <w:tcPr>
            <w:tcW w:w="5580" w:type="dxa"/>
            <w:tcBorders>
              <w:top w:val="single" w:sz="4" w:space="0" w:color="auto"/>
              <w:bottom w:val="single" w:sz="8" w:space="0" w:color="auto"/>
              <w:right w:val="single" w:sz="4" w:space="0" w:color="auto"/>
            </w:tcBorders>
            <w:shd w:val="clear" w:color="auto" w:fill="auto"/>
            <w:vAlign w:val="bottom"/>
          </w:tcPr>
          <w:p w:rsidR="00090456" w:rsidRPr="00621CDB" w:rsidRDefault="00090456" w:rsidP="002A51D8">
            <w:pPr>
              <w:spacing w:line="310" w:lineRule="exact"/>
              <w:ind w:left="80"/>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Kinh nghiệm và năng lực của nhà thầu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090456" w:rsidRPr="00621CDB" w:rsidRDefault="00090456" w:rsidP="002A51D8">
            <w:pPr>
              <w:spacing w:line="310" w:lineRule="exact"/>
              <w:jc w:val="center"/>
              <w:rPr>
                <w:rFonts w:ascii="Times New Roman" w:eastAsia="Times New Roman" w:hAnsi="Times New Roman"/>
                <w:b/>
                <w:color w:val="000000" w:themeColor="text1"/>
                <w:w w:val="99"/>
                <w:sz w:val="28"/>
              </w:rPr>
            </w:pPr>
            <w:r w:rsidRPr="00621CDB">
              <w:rPr>
                <w:rFonts w:ascii="Times New Roman" w:eastAsia="Times New Roman" w:hAnsi="Times New Roman"/>
                <w:b/>
                <w:color w:val="000000" w:themeColor="text1"/>
                <w:w w:val="99"/>
                <w:sz w:val="28"/>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090456" w:rsidRPr="00621CDB" w:rsidRDefault="00090456" w:rsidP="002A51D8">
            <w:pPr>
              <w:spacing w:line="310" w:lineRule="exact"/>
              <w:jc w:val="center"/>
              <w:rPr>
                <w:rFonts w:ascii="Times New Roman" w:eastAsia="Times New Roman" w:hAnsi="Times New Roman"/>
                <w:b/>
                <w:color w:val="000000" w:themeColor="text1"/>
                <w:w w:val="99"/>
                <w:sz w:val="28"/>
              </w:rPr>
            </w:pPr>
          </w:p>
        </w:tc>
        <w:tc>
          <w:tcPr>
            <w:tcW w:w="1170" w:type="dxa"/>
            <w:tcBorders>
              <w:top w:val="single" w:sz="4" w:space="0" w:color="auto"/>
              <w:left w:val="single" w:sz="4" w:space="0" w:color="auto"/>
              <w:bottom w:val="single" w:sz="8" w:space="0" w:color="auto"/>
              <w:right w:val="single" w:sz="8" w:space="0" w:color="auto"/>
            </w:tcBorders>
          </w:tcPr>
          <w:p w:rsidR="00090456" w:rsidRPr="00621CDB" w:rsidRDefault="002D5879" w:rsidP="002A51D8">
            <w:pPr>
              <w:spacing w:line="310" w:lineRule="exact"/>
              <w:jc w:val="center"/>
              <w:rPr>
                <w:rFonts w:ascii="Times New Roman" w:eastAsia="Times New Roman" w:hAnsi="Times New Roman"/>
                <w:b/>
                <w:color w:val="000000" w:themeColor="text1"/>
                <w:w w:val="99"/>
                <w:sz w:val="28"/>
              </w:rPr>
            </w:pPr>
            <w:r w:rsidRPr="00621CDB">
              <w:rPr>
                <w:rFonts w:ascii="Times New Roman" w:eastAsia="Times New Roman" w:hAnsi="Times New Roman"/>
                <w:b/>
                <w:color w:val="000000" w:themeColor="text1"/>
                <w:w w:val="99"/>
                <w:sz w:val="28"/>
              </w:rPr>
              <w:t>14</w:t>
            </w:r>
          </w:p>
        </w:tc>
      </w:tr>
      <w:tr w:rsidR="00297DB5" w:rsidRPr="008C3331" w:rsidTr="00227792">
        <w:trPr>
          <w:trHeight w:val="538"/>
        </w:trPr>
        <w:tc>
          <w:tcPr>
            <w:tcW w:w="540" w:type="dxa"/>
            <w:vMerge w:val="restart"/>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w w:val="97"/>
                <w:sz w:val="28"/>
              </w:rPr>
            </w:pPr>
          </w:p>
        </w:tc>
        <w:tc>
          <w:tcPr>
            <w:tcW w:w="5580" w:type="dxa"/>
            <w:tcBorders>
              <w:bottom w:val="single" w:sz="8" w:space="0" w:color="auto"/>
              <w:right w:val="single" w:sz="8" w:space="0" w:color="auto"/>
            </w:tcBorders>
            <w:shd w:val="clear" w:color="auto" w:fill="auto"/>
            <w:vAlign w:val="bottom"/>
          </w:tcPr>
          <w:p w:rsidR="00297DB5" w:rsidRPr="00621CDB" w:rsidRDefault="006B465A" w:rsidP="007B7F1D">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1.1.</w:t>
            </w:r>
            <w:r w:rsidR="00320012" w:rsidRPr="00621CDB">
              <w:rPr>
                <w:rFonts w:ascii="Times New Roman" w:eastAsia="Times New Roman" w:hAnsi="Times New Roman" w:cs="Times New Roman"/>
                <w:color w:val="000000" w:themeColor="text1"/>
                <w:sz w:val="28"/>
                <w:szCs w:val="28"/>
              </w:rPr>
              <w:t xml:space="preserve"> </w:t>
            </w:r>
            <w:r w:rsidR="00297DB5" w:rsidRPr="00621CDB">
              <w:rPr>
                <w:rFonts w:ascii="Times New Roman" w:eastAsia="Times New Roman" w:hAnsi="Times New Roman" w:cs="Times New Roman"/>
                <w:color w:val="000000" w:themeColor="text1"/>
                <w:sz w:val="28"/>
                <w:szCs w:val="28"/>
              </w:rPr>
              <w:t xml:space="preserve">Nhà thầu đã thực hiện </w:t>
            </w:r>
            <w:r w:rsidR="00227792" w:rsidRPr="00621CDB">
              <w:rPr>
                <w:rFonts w:ascii="Times New Roman" w:eastAsia="Times New Roman" w:hAnsi="Times New Roman" w:cs="Times New Roman"/>
                <w:color w:val="000000" w:themeColor="text1"/>
                <w:sz w:val="28"/>
                <w:szCs w:val="28"/>
              </w:rPr>
              <w:t>đồ</w:t>
            </w:r>
            <w:r w:rsidR="00297DB5" w:rsidRPr="00621CDB">
              <w:rPr>
                <w:rFonts w:ascii="Times New Roman" w:eastAsia="Times New Roman" w:hAnsi="Times New Roman" w:cs="Times New Roman"/>
                <w:color w:val="000000" w:themeColor="text1"/>
                <w:sz w:val="28"/>
                <w:szCs w:val="28"/>
              </w:rPr>
              <w:t xml:space="preserve"> án tương tự trong </w:t>
            </w:r>
            <w:r w:rsidR="007B4102" w:rsidRPr="00621CDB">
              <w:rPr>
                <w:rFonts w:ascii="Times New Roman" w:eastAsia="Times New Roman" w:hAnsi="Times New Roman" w:cs="Times New Roman"/>
                <w:color w:val="000000" w:themeColor="text1"/>
                <w:sz w:val="28"/>
                <w:szCs w:val="28"/>
              </w:rPr>
              <w:t>0</w:t>
            </w:r>
            <w:r w:rsidR="007B7F1D">
              <w:rPr>
                <w:rFonts w:ascii="Times New Roman" w:eastAsia="Times New Roman" w:hAnsi="Times New Roman" w:cs="Times New Roman"/>
                <w:color w:val="000000" w:themeColor="text1"/>
                <w:sz w:val="28"/>
                <w:szCs w:val="28"/>
              </w:rPr>
              <w:t>5</w:t>
            </w:r>
            <w:r w:rsidR="00297DB5" w:rsidRPr="00621CDB">
              <w:rPr>
                <w:rFonts w:ascii="Times New Roman" w:eastAsia="Times New Roman" w:hAnsi="Times New Roman" w:cs="Times New Roman"/>
                <w:color w:val="000000" w:themeColor="text1"/>
                <w:sz w:val="28"/>
                <w:szCs w:val="28"/>
              </w:rPr>
              <w:t xml:space="preserve"> năm gần đây (</w:t>
            </w:r>
            <w:r w:rsidR="00227792" w:rsidRPr="00621CDB">
              <w:rPr>
                <w:rFonts w:ascii="Times New Roman" w:eastAsia="Times New Roman" w:hAnsi="Times New Roman" w:cs="Times New Roman"/>
                <w:color w:val="000000" w:themeColor="text1"/>
                <w:sz w:val="28"/>
                <w:szCs w:val="28"/>
              </w:rPr>
              <w:t xml:space="preserve">Quy </w:t>
            </w:r>
            <w:r w:rsidR="00297DB5" w:rsidRPr="00621CDB">
              <w:rPr>
                <w:rFonts w:ascii="Times New Roman" w:eastAsia="Times New Roman" w:hAnsi="Times New Roman" w:cs="Times New Roman"/>
                <w:color w:val="000000" w:themeColor="text1"/>
                <w:sz w:val="28"/>
                <w:szCs w:val="28"/>
              </w:rPr>
              <w:t>hoạch</w:t>
            </w:r>
            <w:r w:rsidR="00337C56">
              <w:rPr>
                <w:rFonts w:ascii="Times New Roman" w:eastAsia="Times New Roman" w:hAnsi="Times New Roman" w:cs="Times New Roman"/>
                <w:color w:val="000000" w:themeColor="text1"/>
                <w:sz w:val="28"/>
                <w:szCs w:val="28"/>
              </w:rPr>
              <w:t xml:space="preserve"> vùng</w:t>
            </w:r>
            <w:r w:rsidR="00C841FA" w:rsidRPr="00621CDB">
              <w:rPr>
                <w:rFonts w:ascii="Times New Roman" w:eastAsia="Times New Roman" w:hAnsi="Times New Roman" w:cs="Times New Roman"/>
                <w:color w:val="000000" w:themeColor="text1"/>
                <w:sz w:val="28"/>
                <w:szCs w:val="28"/>
              </w:rPr>
              <w:t xml:space="preserve"> </w:t>
            </w:r>
            <w:r w:rsidR="00297DB5" w:rsidRPr="00621CDB">
              <w:rPr>
                <w:rFonts w:ascii="Times New Roman" w:eastAsia="Times New Roman" w:hAnsi="Times New Roman" w:cs="Times New Roman"/>
                <w:color w:val="000000" w:themeColor="text1"/>
                <w:sz w:val="28"/>
                <w:szCs w:val="28"/>
              </w:rPr>
              <w:t>hoặc quy hoạch phân khu</w:t>
            </w:r>
            <w:r w:rsidR="00227792" w:rsidRPr="00621CDB">
              <w:rPr>
                <w:rFonts w:ascii="Times New Roman" w:eastAsia="Times New Roman" w:hAnsi="Times New Roman" w:cs="Times New Roman"/>
                <w:color w:val="000000" w:themeColor="text1"/>
                <w:sz w:val="28"/>
                <w:szCs w:val="28"/>
              </w:rPr>
              <w:t>)</w:t>
            </w:r>
            <w:r w:rsidR="006D0382">
              <w:rPr>
                <w:rFonts w:ascii="Times New Roman" w:eastAsia="Times New Roman" w:hAnsi="Times New Roman" w:cs="Times New Roman"/>
                <w:color w:val="000000" w:themeColor="text1"/>
                <w:sz w:val="28"/>
                <w:szCs w:val="28"/>
              </w:rPr>
              <w:t>,</w:t>
            </w:r>
            <w:r w:rsidR="00297DB5" w:rsidRPr="00621CDB">
              <w:rPr>
                <w:rFonts w:ascii="Times New Roman" w:eastAsia="Times New Roman" w:hAnsi="Times New Roman" w:cs="Times New Roman"/>
                <w:color w:val="000000" w:themeColor="text1"/>
                <w:sz w:val="28"/>
                <w:szCs w:val="28"/>
              </w:rPr>
              <w:t xml:space="preserve"> có giá trị hợp đồng ≥ </w:t>
            </w:r>
            <w:r w:rsidR="0070750A" w:rsidRPr="00621CDB">
              <w:rPr>
                <w:rFonts w:ascii="Times New Roman" w:eastAsia="Times New Roman" w:hAnsi="Times New Roman" w:cs="Times New Roman"/>
                <w:color w:val="000000" w:themeColor="text1"/>
                <w:sz w:val="28"/>
                <w:szCs w:val="28"/>
              </w:rPr>
              <w:t>1.</w:t>
            </w:r>
            <w:r w:rsidR="007B7F1D">
              <w:rPr>
                <w:rFonts w:ascii="Times New Roman" w:eastAsia="Times New Roman" w:hAnsi="Times New Roman" w:cs="Times New Roman"/>
                <w:color w:val="000000" w:themeColor="text1"/>
                <w:sz w:val="28"/>
                <w:szCs w:val="28"/>
              </w:rPr>
              <w:t>80</w:t>
            </w:r>
            <w:r w:rsidR="0070750A" w:rsidRPr="00621CDB">
              <w:rPr>
                <w:rFonts w:ascii="Times New Roman" w:eastAsia="Times New Roman" w:hAnsi="Times New Roman" w:cs="Times New Roman"/>
                <w:color w:val="000000" w:themeColor="text1"/>
                <w:sz w:val="28"/>
                <w:szCs w:val="28"/>
              </w:rPr>
              <w:t>0</w:t>
            </w:r>
            <w:r w:rsidR="00297DB5" w:rsidRPr="00621CDB">
              <w:rPr>
                <w:rFonts w:ascii="Times New Roman" w:eastAsia="Times New Roman" w:hAnsi="Times New Roman" w:cs="Times New Roman"/>
                <w:color w:val="000000" w:themeColor="text1"/>
                <w:sz w:val="28"/>
                <w:szCs w:val="28"/>
              </w:rPr>
              <w:t xml:space="preserve">.000.000 đồng, nhà thầu phải có bản sao được công chứng của hợp đồng và một trong các tài liệu sau: thanh lý hợp đồng, biên bản nghiệm thu, hóa đơn tài chính, </w:t>
            </w:r>
            <w:r w:rsidR="00227792" w:rsidRPr="00621CDB">
              <w:rPr>
                <w:rFonts w:ascii="Times New Roman" w:eastAsia="Times New Roman" w:hAnsi="Times New Roman" w:cs="Times New Roman"/>
                <w:color w:val="000000" w:themeColor="text1"/>
                <w:sz w:val="28"/>
                <w:szCs w:val="28"/>
              </w:rPr>
              <w:t>q</w:t>
            </w:r>
            <w:r w:rsidR="00297DB5" w:rsidRPr="00621CDB">
              <w:rPr>
                <w:rFonts w:ascii="Times New Roman" w:eastAsia="Times New Roman" w:hAnsi="Times New Roman" w:cs="Times New Roman"/>
                <w:color w:val="000000" w:themeColor="text1"/>
                <w:sz w:val="28"/>
                <w:szCs w:val="28"/>
              </w:rPr>
              <w:t>uyết định phê duyệt quy hoạch của cấp có thẩm quyền</w:t>
            </w:r>
          </w:p>
        </w:tc>
        <w:tc>
          <w:tcPr>
            <w:tcW w:w="1170" w:type="dxa"/>
            <w:tcBorders>
              <w:top w:val="single" w:sz="4" w:space="0" w:color="auto"/>
              <w:bottom w:val="single" w:sz="8" w:space="0" w:color="auto"/>
              <w:right w:val="single" w:sz="8" w:space="0" w:color="auto"/>
            </w:tcBorders>
            <w:shd w:val="clear" w:color="auto" w:fill="auto"/>
            <w:vAlign w:val="center"/>
          </w:tcPr>
          <w:p w:rsidR="00297DB5" w:rsidRPr="00621CDB" w:rsidRDefault="00337C56" w:rsidP="00D84B9B">
            <w:pPr>
              <w:spacing w:line="310" w:lineRule="exact"/>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7</w:t>
            </w:r>
          </w:p>
        </w:tc>
        <w:tc>
          <w:tcPr>
            <w:tcW w:w="1170" w:type="dxa"/>
            <w:tcBorders>
              <w:top w:val="single" w:sz="4" w:space="0" w:color="auto"/>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2C1F49">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297DB5" w:rsidP="00337C56">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 xml:space="preserve">Thực hiện ≥ </w:t>
            </w:r>
            <w:r w:rsidR="007B7F1D">
              <w:rPr>
                <w:rFonts w:ascii="Times New Roman" w:eastAsia="Times New Roman" w:hAnsi="Times New Roman" w:cs="Times New Roman"/>
                <w:color w:val="000000" w:themeColor="text1"/>
                <w:sz w:val="28"/>
                <w:szCs w:val="28"/>
              </w:rPr>
              <w:t>0</w:t>
            </w:r>
            <w:r w:rsidR="00337C56">
              <w:rPr>
                <w:rFonts w:ascii="Times New Roman" w:eastAsia="Times New Roman" w:hAnsi="Times New Roman" w:cs="Times New Roman"/>
                <w:color w:val="000000" w:themeColor="text1"/>
                <w:sz w:val="28"/>
                <w:szCs w:val="28"/>
              </w:rPr>
              <w:t>5</w:t>
            </w:r>
            <w:r w:rsidRPr="00621CDB">
              <w:rPr>
                <w:rFonts w:ascii="Times New Roman" w:eastAsia="Times New Roman" w:hAnsi="Times New Roman" w:cs="Times New Roman"/>
                <w:color w:val="000000" w:themeColor="text1"/>
                <w:sz w:val="28"/>
                <w:szCs w:val="28"/>
              </w:rPr>
              <w:t xml:space="preserve"> đồ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37C56" w:rsidP="00D84B9B">
            <w:pPr>
              <w:spacing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2C1F49">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297DB5" w:rsidP="00337C56">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 xml:space="preserve">Thực hiện </w:t>
            </w:r>
            <w:r w:rsidR="007B7F1D">
              <w:rPr>
                <w:rFonts w:ascii="Times New Roman" w:eastAsia="Times New Roman" w:hAnsi="Times New Roman" w:cs="Times New Roman"/>
                <w:color w:val="000000" w:themeColor="text1"/>
                <w:sz w:val="28"/>
                <w:szCs w:val="28"/>
              </w:rPr>
              <w:t>từ 02 đến 04</w:t>
            </w:r>
            <w:r w:rsidRPr="00621CDB">
              <w:rPr>
                <w:rFonts w:ascii="Times New Roman" w:eastAsia="Times New Roman" w:hAnsi="Times New Roman" w:cs="Times New Roman"/>
                <w:color w:val="000000" w:themeColor="text1"/>
                <w:sz w:val="28"/>
                <w:szCs w:val="28"/>
              </w:rPr>
              <w:t xml:space="preserve"> đồ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C97853" w:rsidP="00D84B9B">
            <w:pPr>
              <w:spacing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2C1F49">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297DB5" w:rsidP="00337C56">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 xml:space="preserve">Thực hiện </w:t>
            </w:r>
            <w:r w:rsidR="007B7F1D">
              <w:rPr>
                <w:rFonts w:ascii="Times New Roman" w:eastAsia="Times New Roman" w:hAnsi="Times New Roman" w:cs="Times New Roman"/>
                <w:color w:val="000000" w:themeColor="text1"/>
                <w:sz w:val="28"/>
                <w:szCs w:val="28"/>
              </w:rPr>
              <w:t>0</w:t>
            </w:r>
            <w:r w:rsidR="00337C56">
              <w:rPr>
                <w:rFonts w:ascii="Times New Roman" w:eastAsia="Times New Roman" w:hAnsi="Times New Roman" w:cs="Times New Roman"/>
                <w:color w:val="000000" w:themeColor="text1"/>
                <w:sz w:val="28"/>
                <w:szCs w:val="28"/>
              </w:rPr>
              <w:t>1</w:t>
            </w:r>
            <w:r w:rsidRPr="00621CDB">
              <w:rPr>
                <w:rFonts w:ascii="Times New Roman" w:eastAsia="Times New Roman" w:hAnsi="Times New Roman" w:cs="Times New Roman"/>
                <w:color w:val="000000" w:themeColor="text1"/>
                <w:sz w:val="28"/>
                <w:szCs w:val="28"/>
              </w:rPr>
              <w:t xml:space="preserve"> đồ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C97853" w:rsidP="00D84B9B">
            <w:pPr>
              <w:spacing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510BED">
        <w:trPr>
          <w:trHeight w:val="1992"/>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6B465A" w:rsidP="0074014D">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1.2.</w:t>
            </w:r>
            <w:r w:rsidR="00D416D5" w:rsidRPr="00621CDB">
              <w:rPr>
                <w:rFonts w:ascii="Times New Roman" w:eastAsia="Times New Roman" w:hAnsi="Times New Roman" w:cs="Times New Roman"/>
                <w:color w:val="000000" w:themeColor="text1"/>
                <w:sz w:val="28"/>
                <w:szCs w:val="28"/>
              </w:rPr>
              <w:t xml:space="preserve"> </w:t>
            </w:r>
            <w:r w:rsidR="00297DB5" w:rsidRPr="00621CDB">
              <w:rPr>
                <w:rFonts w:ascii="Times New Roman" w:eastAsia="Times New Roman" w:hAnsi="Times New Roman" w:cs="Times New Roman"/>
                <w:color w:val="000000" w:themeColor="text1"/>
                <w:sz w:val="28"/>
                <w:szCs w:val="28"/>
              </w:rPr>
              <w:t xml:space="preserve">Nhà thầu đã thực hiện </w:t>
            </w:r>
            <w:r w:rsidR="006D1BFC" w:rsidRPr="00621CDB">
              <w:rPr>
                <w:rFonts w:ascii="Times New Roman" w:eastAsia="Times New Roman" w:hAnsi="Times New Roman" w:cs="Times New Roman"/>
                <w:color w:val="000000" w:themeColor="text1"/>
                <w:sz w:val="28"/>
                <w:szCs w:val="28"/>
              </w:rPr>
              <w:t>từ</w:t>
            </w:r>
            <w:r w:rsidR="00510BED" w:rsidRPr="00621CDB">
              <w:rPr>
                <w:rFonts w:ascii="Times New Roman" w:eastAsia="Times New Roman" w:hAnsi="Times New Roman" w:cs="Times New Roman"/>
                <w:color w:val="000000" w:themeColor="text1"/>
                <w:sz w:val="28"/>
                <w:szCs w:val="28"/>
              </w:rPr>
              <w:t xml:space="preserve"> </w:t>
            </w:r>
            <w:r w:rsidR="00D416D5" w:rsidRPr="00621CDB">
              <w:rPr>
                <w:rFonts w:ascii="Times New Roman" w:eastAsia="Times New Roman" w:hAnsi="Times New Roman" w:cs="Times New Roman"/>
                <w:color w:val="000000" w:themeColor="text1"/>
                <w:sz w:val="28"/>
                <w:szCs w:val="28"/>
              </w:rPr>
              <w:t>0</w:t>
            </w:r>
            <w:r w:rsidR="0074014D">
              <w:rPr>
                <w:rFonts w:ascii="Times New Roman" w:eastAsia="Times New Roman" w:hAnsi="Times New Roman" w:cs="Times New Roman"/>
                <w:color w:val="000000" w:themeColor="text1"/>
                <w:sz w:val="28"/>
                <w:szCs w:val="28"/>
              </w:rPr>
              <w:t>5</w:t>
            </w:r>
            <w:r w:rsidR="002D72DE" w:rsidRPr="00621CDB">
              <w:rPr>
                <w:rFonts w:ascii="Times New Roman" w:eastAsia="Times New Roman" w:hAnsi="Times New Roman" w:cs="Times New Roman"/>
                <w:color w:val="000000" w:themeColor="text1"/>
                <w:sz w:val="28"/>
                <w:szCs w:val="28"/>
              </w:rPr>
              <w:t xml:space="preserve"> </w:t>
            </w:r>
            <w:r w:rsidR="006D1BFC" w:rsidRPr="00621CDB">
              <w:rPr>
                <w:rFonts w:ascii="Times New Roman" w:eastAsia="Times New Roman" w:hAnsi="Times New Roman" w:cs="Times New Roman"/>
                <w:color w:val="000000" w:themeColor="text1"/>
                <w:sz w:val="28"/>
                <w:szCs w:val="28"/>
              </w:rPr>
              <w:t xml:space="preserve">đồ án </w:t>
            </w:r>
            <w:r w:rsidR="00297DB5" w:rsidRPr="00621CDB">
              <w:rPr>
                <w:rFonts w:ascii="Times New Roman" w:eastAsia="Times New Roman" w:hAnsi="Times New Roman" w:cs="Times New Roman"/>
                <w:color w:val="000000" w:themeColor="text1"/>
                <w:sz w:val="28"/>
                <w:szCs w:val="28"/>
              </w:rPr>
              <w:t xml:space="preserve">quy hoạch phân khu </w:t>
            </w:r>
            <w:r w:rsidR="006D1BFC" w:rsidRPr="00621CDB">
              <w:rPr>
                <w:rFonts w:ascii="Times New Roman" w:eastAsia="Times New Roman" w:hAnsi="Times New Roman" w:cs="Times New Roman"/>
                <w:color w:val="000000" w:themeColor="text1"/>
                <w:sz w:val="28"/>
                <w:szCs w:val="28"/>
              </w:rPr>
              <w:t>trở lên</w:t>
            </w:r>
            <w:r w:rsidR="00320012" w:rsidRPr="00621CDB">
              <w:rPr>
                <w:rFonts w:ascii="Times New Roman" w:eastAsia="Times New Roman" w:hAnsi="Times New Roman" w:cs="Times New Roman"/>
                <w:color w:val="000000" w:themeColor="text1"/>
                <w:sz w:val="28"/>
                <w:szCs w:val="28"/>
              </w:rPr>
              <w:t xml:space="preserve"> </w:t>
            </w:r>
            <w:r w:rsidR="00BA4AA2">
              <w:rPr>
                <w:rFonts w:ascii="Times New Roman" w:eastAsia="Times New Roman" w:hAnsi="Times New Roman" w:cs="Times New Roman"/>
                <w:color w:val="000000" w:themeColor="text1"/>
                <w:sz w:val="28"/>
                <w:szCs w:val="28"/>
              </w:rPr>
              <w:t xml:space="preserve">trong vòng 05 năm trở lại đây tính đến thời điểm mở thầu. </w:t>
            </w:r>
            <w:r w:rsidR="00297DB5" w:rsidRPr="00621CDB">
              <w:rPr>
                <w:rFonts w:ascii="Times New Roman" w:eastAsia="Times New Roman" w:hAnsi="Times New Roman" w:cs="Times New Roman"/>
                <w:color w:val="000000" w:themeColor="text1"/>
                <w:sz w:val="28"/>
                <w:szCs w:val="28"/>
              </w:rPr>
              <w:t>(Nhà thầu phải có bản sao được công chứng của hợp đồng và một trong các tài liệu sau: thanh lý hợp đồng, biên bản nghiệm thu, hóa đơn tài chính, Quyết định phê duyệt đồ án quy hoạch</w:t>
            </w:r>
            <w:r w:rsidR="00BA4AA2">
              <w:rPr>
                <w:rFonts w:ascii="Times New Roman" w:eastAsia="Times New Roman" w:hAnsi="Times New Roman" w:cs="Times New Roman"/>
                <w:color w:val="000000" w:themeColor="text1"/>
                <w:sz w:val="28"/>
                <w:szCs w:val="28"/>
              </w:rPr>
              <w:t xml:space="preserve"> của cấp có thẩm quyền</w:t>
            </w:r>
            <w:r w:rsidR="00297DB5" w:rsidRPr="00621CDB">
              <w:rPr>
                <w:rFonts w:ascii="Times New Roman" w:eastAsia="Times New Roman" w:hAnsi="Times New Roman" w:cs="Times New Roman"/>
                <w:color w:val="000000" w:themeColor="text1"/>
                <w:sz w:val="28"/>
                <w:szCs w:val="28"/>
              </w:rPr>
              <w:t>)</w:t>
            </w:r>
            <w:r w:rsidR="00BA4AA2">
              <w:rPr>
                <w:rFonts w:ascii="Times New Roman" w:eastAsia="Times New Roman" w:hAnsi="Times New Roman" w:cs="Times New Roman"/>
                <w:color w:val="000000" w:themeColor="text1"/>
                <w:sz w:val="28"/>
                <w:szCs w:val="28"/>
              </w:rPr>
              <w:t>.</w:t>
            </w:r>
          </w:p>
        </w:tc>
        <w:tc>
          <w:tcPr>
            <w:tcW w:w="1170" w:type="dxa"/>
            <w:tcBorders>
              <w:bottom w:val="single" w:sz="8" w:space="0" w:color="auto"/>
              <w:right w:val="single" w:sz="8" w:space="0" w:color="auto"/>
            </w:tcBorders>
            <w:shd w:val="clear" w:color="auto" w:fill="auto"/>
            <w:vAlign w:val="center"/>
          </w:tcPr>
          <w:p w:rsidR="00297DB5" w:rsidRPr="00621CDB" w:rsidRDefault="006C371C" w:rsidP="00B3063C">
            <w:pPr>
              <w:spacing w:line="308" w:lineRule="exact"/>
              <w:ind w:left="100"/>
              <w:jc w:val="center"/>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9</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B15BA5">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BA4AA2" w:rsidP="00D416D5">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Thực hiện ≥</w:t>
            </w:r>
            <w:r w:rsidR="00E3416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09 đồ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6C371C"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9</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B15BA5">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BA4AA2" w:rsidP="002E45ED">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Thực hiện từ 06 đến 08 đồ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BA4AA2"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7</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2C1F49">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BA4AA2" w:rsidP="00D416D5">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Thực hiện 05 đồ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BA4AA2"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5</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E80ECD" w:rsidRPr="008C3331" w:rsidTr="002C1F49">
        <w:trPr>
          <w:trHeight w:val="309"/>
        </w:trPr>
        <w:tc>
          <w:tcPr>
            <w:tcW w:w="540" w:type="dxa"/>
            <w:vMerge/>
            <w:tcBorders>
              <w:left w:val="single" w:sz="8" w:space="0" w:color="auto"/>
              <w:right w:val="single" w:sz="8" w:space="0" w:color="auto"/>
            </w:tcBorders>
            <w:shd w:val="clear" w:color="auto" w:fill="auto"/>
            <w:vAlign w:val="bottom"/>
          </w:tcPr>
          <w:p w:rsidR="00E80ECD" w:rsidRPr="00621CDB" w:rsidRDefault="00E80ECD"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E80ECD" w:rsidRPr="00621CDB" w:rsidRDefault="0038230C" w:rsidP="00391A24">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1.3.</w:t>
            </w:r>
            <w:r w:rsidR="00E80ECD" w:rsidRPr="00621CDB">
              <w:rPr>
                <w:rFonts w:ascii="Times New Roman" w:eastAsia="Times New Roman" w:hAnsi="Times New Roman" w:cs="Times New Roman"/>
                <w:color w:val="000000" w:themeColor="text1"/>
                <w:sz w:val="28"/>
                <w:szCs w:val="28"/>
              </w:rPr>
              <w:t xml:space="preserve"> </w:t>
            </w:r>
            <w:r w:rsidR="00391A24">
              <w:rPr>
                <w:rFonts w:ascii="Times New Roman" w:eastAsia="Times New Roman" w:hAnsi="Times New Roman" w:cs="Times New Roman"/>
                <w:color w:val="000000" w:themeColor="text1"/>
                <w:sz w:val="28"/>
                <w:szCs w:val="28"/>
              </w:rPr>
              <w:t>Kinh nghiệm trong lĩnh vực tư vấn lập quy hoạch xây dựng: nhà thầu phải có chứng chỉ quy hoạch xây dựng từ hạng II trở lên (chứng minh bằng Giấy chứng nhận đăng ký doanh nghiệp, quyết định thành lập hoặc các văn bản tương đương khác)</w:t>
            </w:r>
          </w:p>
        </w:tc>
        <w:tc>
          <w:tcPr>
            <w:tcW w:w="1170" w:type="dxa"/>
            <w:tcBorders>
              <w:bottom w:val="single" w:sz="8" w:space="0" w:color="auto"/>
              <w:right w:val="single" w:sz="8" w:space="0" w:color="auto"/>
            </w:tcBorders>
            <w:shd w:val="clear" w:color="auto" w:fill="auto"/>
            <w:vAlign w:val="center"/>
          </w:tcPr>
          <w:p w:rsidR="00E80ECD" w:rsidRPr="00621CDB" w:rsidRDefault="0074014D" w:rsidP="00D84B9B">
            <w:pPr>
              <w:spacing w:line="308" w:lineRule="exact"/>
              <w:ind w:left="100"/>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4</w:t>
            </w:r>
          </w:p>
        </w:tc>
        <w:tc>
          <w:tcPr>
            <w:tcW w:w="1170" w:type="dxa"/>
            <w:tcBorders>
              <w:bottom w:val="single" w:sz="8" w:space="0" w:color="auto"/>
              <w:right w:val="single" w:sz="8" w:space="0" w:color="auto"/>
            </w:tcBorders>
            <w:shd w:val="clear" w:color="auto" w:fill="auto"/>
            <w:vAlign w:val="center"/>
          </w:tcPr>
          <w:p w:rsidR="00E80ECD" w:rsidRPr="00621CDB" w:rsidRDefault="00E80ECD"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E80ECD" w:rsidRPr="00621CDB" w:rsidRDefault="00E80ECD" w:rsidP="00D84B9B">
            <w:pPr>
              <w:spacing w:line="0" w:lineRule="atLeast"/>
              <w:jc w:val="center"/>
              <w:rPr>
                <w:rFonts w:ascii="Times New Roman" w:eastAsia="Times New Roman" w:hAnsi="Times New Roman" w:cs="Times New Roman"/>
                <w:color w:val="000000" w:themeColor="text1"/>
                <w:sz w:val="24"/>
              </w:rPr>
            </w:pPr>
          </w:p>
        </w:tc>
      </w:tr>
      <w:tr w:rsidR="00CD10B3" w:rsidRPr="008C3331" w:rsidTr="002C1F49">
        <w:trPr>
          <w:trHeight w:val="309"/>
        </w:trPr>
        <w:tc>
          <w:tcPr>
            <w:tcW w:w="540" w:type="dxa"/>
            <w:vMerge/>
            <w:tcBorders>
              <w:left w:val="single" w:sz="8" w:space="0" w:color="auto"/>
              <w:right w:val="single" w:sz="8" w:space="0" w:color="auto"/>
            </w:tcBorders>
            <w:shd w:val="clear" w:color="auto" w:fill="auto"/>
            <w:vAlign w:val="bottom"/>
          </w:tcPr>
          <w:p w:rsidR="00CD10B3" w:rsidRPr="00621CDB" w:rsidRDefault="00CD10B3"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CD10B3" w:rsidRPr="00621CDB" w:rsidRDefault="00AA660C" w:rsidP="006C371C">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Số năm ≥ 15 năm</w:t>
            </w:r>
          </w:p>
        </w:tc>
        <w:tc>
          <w:tcPr>
            <w:tcW w:w="1170" w:type="dxa"/>
            <w:tcBorders>
              <w:bottom w:val="single" w:sz="8" w:space="0" w:color="auto"/>
              <w:right w:val="single" w:sz="8" w:space="0" w:color="auto"/>
            </w:tcBorders>
            <w:shd w:val="clear" w:color="auto" w:fill="auto"/>
            <w:vAlign w:val="center"/>
          </w:tcPr>
          <w:p w:rsidR="00CD10B3" w:rsidRPr="00621CDB" w:rsidRDefault="00CD10B3"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CD10B3" w:rsidRPr="00621CDB" w:rsidRDefault="0074014D"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4</w:t>
            </w:r>
          </w:p>
        </w:tc>
        <w:tc>
          <w:tcPr>
            <w:tcW w:w="1170" w:type="dxa"/>
            <w:tcBorders>
              <w:bottom w:val="single" w:sz="8" w:space="0" w:color="auto"/>
              <w:right w:val="single" w:sz="8" w:space="0" w:color="auto"/>
            </w:tcBorders>
            <w:vAlign w:val="center"/>
          </w:tcPr>
          <w:p w:rsidR="00CD10B3" w:rsidRPr="00621CDB" w:rsidRDefault="00CD10B3" w:rsidP="00D84B9B">
            <w:pPr>
              <w:spacing w:line="0" w:lineRule="atLeast"/>
              <w:jc w:val="center"/>
              <w:rPr>
                <w:rFonts w:ascii="Times New Roman" w:eastAsia="Times New Roman" w:hAnsi="Times New Roman" w:cs="Times New Roman"/>
                <w:color w:val="000000" w:themeColor="text1"/>
                <w:sz w:val="24"/>
              </w:rPr>
            </w:pPr>
          </w:p>
        </w:tc>
      </w:tr>
      <w:tr w:rsidR="00CD10B3" w:rsidRPr="008C3331" w:rsidTr="002C1F49">
        <w:trPr>
          <w:trHeight w:val="309"/>
        </w:trPr>
        <w:tc>
          <w:tcPr>
            <w:tcW w:w="540" w:type="dxa"/>
            <w:vMerge/>
            <w:tcBorders>
              <w:left w:val="single" w:sz="8" w:space="0" w:color="auto"/>
              <w:right w:val="single" w:sz="8" w:space="0" w:color="auto"/>
            </w:tcBorders>
            <w:shd w:val="clear" w:color="auto" w:fill="auto"/>
            <w:vAlign w:val="bottom"/>
          </w:tcPr>
          <w:p w:rsidR="00CD10B3" w:rsidRPr="00621CDB" w:rsidRDefault="00CD10B3"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CD10B3" w:rsidRPr="00621CDB" w:rsidRDefault="00AA660C" w:rsidP="00810C36">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năm </w:t>
            </w:r>
            <w:r w:rsidR="004935E7">
              <w:rPr>
                <w:rFonts w:ascii="Times New Roman" w:eastAsia="Times New Roman" w:hAnsi="Times New Roman" w:cs="Times New Roman"/>
                <w:color w:val="000000" w:themeColor="text1"/>
                <w:sz w:val="28"/>
                <w:szCs w:val="28"/>
              </w:rPr>
              <w:t>từ 0</w:t>
            </w:r>
            <w:r w:rsidR="00810C36">
              <w:rPr>
                <w:rFonts w:ascii="Times New Roman" w:eastAsia="Times New Roman" w:hAnsi="Times New Roman" w:cs="Times New Roman"/>
                <w:color w:val="000000" w:themeColor="text1"/>
                <w:sz w:val="28"/>
                <w:szCs w:val="28"/>
              </w:rPr>
              <w:t>7</w:t>
            </w:r>
            <w:r w:rsidR="004935E7">
              <w:rPr>
                <w:rFonts w:ascii="Times New Roman" w:eastAsia="Times New Roman" w:hAnsi="Times New Roman" w:cs="Times New Roman"/>
                <w:color w:val="000000" w:themeColor="text1"/>
                <w:sz w:val="28"/>
                <w:szCs w:val="28"/>
              </w:rPr>
              <w:t xml:space="preserve"> đến </w:t>
            </w:r>
            <w:r>
              <w:rPr>
                <w:rFonts w:ascii="Times New Roman" w:eastAsia="Times New Roman" w:hAnsi="Times New Roman" w:cs="Times New Roman"/>
                <w:color w:val="000000" w:themeColor="text1"/>
                <w:sz w:val="28"/>
                <w:szCs w:val="28"/>
              </w:rPr>
              <w:t>14 năm</w:t>
            </w:r>
          </w:p>
        </w:tc>
        <w:tc>
          <w:tcPr>
            <w:tcW w:w="1170" w:type="dxa"/>
            <w:tcBorders>
              <w:bottom w:val="single" w:sz="8" w:space="0" w:color="auto"/>
              <w:right w:val="single" w:sz="8" w:space="0" w:color="auto"/>
            </w:tcBorders>
            <w:shd w:val="clear" w:color="auto" w:fill="auto"/>
            <w:vAlign w:val="center"/>
          </w:tcPr>
          <w:p w:rsidR="00CD10B3" w:rsidRPr="00621CDB" w:rsidRDefault="00CD10B3"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CD10B3" w:rsidRPr="00621CDB" w:rsidRDefault="004935E7"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3</w:t>
            </w:r>
          </w:p>
        </w:tc>
        <w:tc>
          <w:tcPr>
            <w:tcW w:w="1170" w:type="dxa"/>
            <w:tcBorders>
              <w:bottom w:val="single" w:sz="8" w:space="0" w:color="auto"/>
              <w:right w:val="single" w:sz="8" w:space="0" w:color="auto"/>
            </w:tcBorders>
            <w:vAlign w:val="center"/>
          </w:tcPr>
          <w:p w:rsidR="00CD10B3" w:rsidRPr="00621CDB" w:rsidRDefault="00CD10B3" w:rsidP="00D84B9B">
            <w:pPr>
              <w:spacing w:line="0" w:lineRule="atLeast"/>
              <w:jc w:val="center"/>
              <w:rPr>
                <w:rFonts w:ascii="Times New Roman" w:eastAsia="Times New Roman" w:hAnsi="Times New Roman" w:cs="Times New Roman"/>
                <w:color w:val="000000" w:themeColor="text1"/>
                <w:sz w:val="24"/>
              </w:rPr>
            </w:pPr>
          </w:p>
        </w:tc>
      </w:tr>
      <w:tr w:rsidR="00CD10B3" w:rsidRPr="008C3331" w:rsidTr="002C1F49">
        <w:trPr>
          <w:trHeight w:val="309"/>
        </w:trPr>
        <w:tc>
          <w:tcPr>
            <w:tcW w:w="540" w:type="dxa"/>
            <w:vMerge/>
            <w:tcBorders>
              <w:left w:val="single" w:sz="8" w:space="0" w:color="auto"/>
              <w:right w:val="single" w:sz="8" w:space="0" w:color="auto"/>
            </w:tcBorders>
            <w:shd w:val="clear" w:color="auto" w:fill="auto"/>
            <w:vAlign w:val="bottom"/>
          </w:tcPr>
          <w:p w:rsidR="00CD10B3" w:rsidRPr="00621CDB" w:rsidRDefault="00CD10B3"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CD10B3" w:rsidRPr="00621CDB" w:rsidRDefault="00AA660C" w:rsidP="004935E7">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năm &lt; </w:t>
            </w:r>
            <w:r w:rsidR="004935E7">
              <w:rPr>
                <w:rFonts w:ascii="Times New Roman" w:eastAsia="Times New Roman" w:hAnsi="Times New Roman" w:cs="Times New Roman"/>
                <w:color w:val="000000" w:themeColor="text1"/>
                <w:sz w:val="28"/>
                <w:szCs w:val="28"/>
              </w:rPr>
              <w:t>0</w:t>
            </w:r>
            <w:r w:rsidR="00810C36">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năm</w:t>
            </w:r>
          </w:p>
        </w:tc>
        <w:tc>
          <w:tcPr>
            <w:tcW w:w="1170" w:type="dxa"/>
            <w:tcBorders>
              <w:bottom w:val="single" w:sz="8" w:space="0" w:color="auto"/>
              <w:right w:val="single" w:sz="8" w:space="0" w:color="auto"/>
            </w:tcBorders>
            <w:shd w:val="clear" w:color="auto" w:fill="auto"/>
            <w:vAlign w:val="center"/>
          </w:tcPr>
          <w:p w:rsidR="00CD10B3" w:rsidRPr="00621CDB" w:rsidRDefault="00CD10B3"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CD10B3" w:rsidRPr="00621CDB" w:rsidRDefault="004935E7"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2</w:t>
            </w:r>
          </w:p>
        </w:tc>
        <w:tc>
          <w:tcPr>
            <w:tcW w:w="1170" w:type="dxa"/>
            <w:tcBorders>
              <w:bottom w:val="single" w:sz="8" w:space="0" w:color="auto"/>
              <w:right w:val="single" w:sz="8" w:space="0" w:color="auto"/>
            </w:tcBorders>
            <w:vAlign w:val="center"/>
          </w:tcPr>
          <w:p w:rsidR="00CD10B3" w:rsidRPr="00621CDB" w:rsidRDefault="00CD10B3"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E07338" w:rsidP="002A51D8">
            <w:pPr>
              <w:spacing w:line="308" w:lineRule="exact"/>
              <w:ind w:left="80"/>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2. Giải p</w:t>
            </w:r>
            <w:r w:rsidR="00355558" w:rsidRPr="00621CDB">
              <w:rPr>
                <w:rFonts w:ascii="Times New Roman" w:eastAsia="Times New Roman" w:hAnsi="Times New Roman" w:cs="Times New Roman"/>
                <w:b/>
                <w:color w:val="000000" w:themeColor="text1"/>
                <w:sz w:val="28"/>
              </w:rPr>
              <w:t>háp và phương pháp luận</w:t>
            </w: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308" w:lineRule="exact"/>
              <w:ind w:left="100"/>
              <w:jc w:val="center"/>
              <w:rPr>
                <w:rFonts w:ascii="Times New Roman" w:eastAsia="Times New Roman" w:hAnsi="Times New Roman" w:cs="Times New Roman"/>
                <w:b/>
                <w:color w:val="000000" w:themeColor="text1"/>
                <w:sz w:val="28"/>
              </w:rPr>
            </w:pPr>
            <w:r w:rsidRPr="00621CDB">
              <w:rPr>
                <w:rFonts w:ascii="Times New Roman" w:eastAsia="Times New Roman" w:hAnsi="Times New Roman" w:cs="Times New Roman"/>
                <w:b/>
                <w:color w:val="000000" w:themeColor="text1"/>
                <w:sz w:val="28"/>
              </w:rPr>
              <w:t>30</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b/>
                <w:color w:val="000000" w:themeColor="text1"/>
                <w:sz w:val="24"/>
              </w:rPr>
            </w:pPr>
          </w:p>
        </w:tc>
        <w:tc>
          <w:tcPr>
            <w:tcW w:w="1170" w:type="dxa"/>
            <w:tcBorders>
              <w:bottom w:val="single" w:sz="8" w:space="0" w:color="auto"/>
              <w:right w:val="single" w:sz="8" w:space="0" w:color="auto"/>
            </w:tcBorders>
            <w:vAlign w:val="center"/>
          </w:tcPr>
          <w:p w:rsidR="00297DB5" w:rsidRPr="00621CDB" w:rsidRDefault="00355558" w:rsidP="00D84B9B">
            <w:pPr>
              <w:spacing w:line="0" w:lineRule="atLeast"/>
              <w:jc w:val="center"/>
              <w:rPr>
                <w:rFonts w:ascii="Times New Roman" w:eastAsia="Times New Roman" w:hAnsi="Times New Roman" w:cs="Times New Roman"/>
                <w:b/>
                <w:color w:val="000000" w:themeColor="text1"/>
                <w:sz w:val="24"/>
              </w:rPr>
            </w:pPr>
            <w:r w:rsidRPr="00621CDB">
              <w:rPr>
                <w:rFonts w:ascii="Times New Roman" w:eastAsia="Times New Roman" w:hAnsi="Times New Roman" w:cs="Times New Roman"/>
                <w:b/>
                <w:color w:val="000000" w:themeColor="text1"/>
                <w:sz w:val="24"/>
              </w:rPr>
              <w:t>21</w:t>
            </w: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944FC0" w:rsidP="00FB7E62">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2.1.</w:t>
            </w:r>
            <w:r w:rsidR="00FB7E62" w:rsidRPr="00621CDB">
              <w:rPr>
                <w:rFonts w:ascii="Times New Roman" w:eastAsia="Times New Roman" w:hAnsi="Times New Roman" w:cs="Times New Roman"/>
                <w:color w:val="000000" w:themeColor="text1"/>
                <w:sz w:val="28"/>
                <w:szCs w:val="28"/>
              </w:rPr>
              <w:t xml:space="preserve"> </w:t>
            </w:r>
            <w:r w:rsidR="00355558" w:rsidRPr="00621CDB">
              <w:rPr>
                <w:rFonts w:ascii="Times New Roman" w:eastAsia="Times New Roman" w:hAnsi="Times New Roman" w:cs="Times New Roman"/>
                <w:color w:val="000000" w:themeColor="text1"/>
                <w:sz w:val="28"/>
                <w:szCs w:val="28"/>
              </w:rPr>
              <w:t>Hiểu rõ mục đích gói thầu</w:t>
            </w: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308" w:lineRule="exact"/>
              <w:ind w:left="100"/>
              <w:jc w:val="center"/>
              <w:rPr>
                <w:rFonts w:ascii="Times New Roman" w:eastAsia="Times New Roman" w:hAnsi="Times New Roman" w:cs="Times New Roman"/>
                <w:color w:val="000000" w:themeColor="text1"/>
                <w:sz w:val="28"/>
              </w:rPr>
            </w:pPr>
            <w:r w:rsidRPr="00621CDB">
              <w:rPr>
                <w:rFonts w:ascii="Times New Roman" w:eastAsia="Times New Roman" w:hAnsi="Times New Roman" w:cs="Times New Roman"/>
                <w:color w:val="000000" w:themeColor="text1"/>
                <w:sz w:val="28"/>
              </w:rPr>
              <w:t>3</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355558" w:rsidP="00FB7E62">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Am hiểu về mục tiêu và nhiệm vụ của dự án đã nêu trong điều khoản tham chiếu</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1,5</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3729F0" w:rsidP="00FB7E62">
            <w:pPr>
              <w:spacing w:line="308" w:lineRule="exact"/>
              <w:ind w:left="27" w:right="24"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Khảo sát hiện trường dự án (đề xuất về kỹ thuật có các hình minh họa vị trí, nội dung quy hoạch của các dự án hợp phần)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3729F0" w:rsidP="00FB7E62">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Am hiểu về phạm vi, quy mô của dự án nêu trong điều khoản tham chiếu</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0,5</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944FC0" w:rsidP="00186A20">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2.2.</w:t>
            </w:r>
            <w:r w:rsidR="00186A20" w:rsidRPr="00621CDB">
              <w:rPr>
                <w:rFonts w:ascii="Times New Roman" w:eastAsia="Times New Roman" w:hAnsi="Times New Roman" w:cs="Times New Roman"/>
                <w:color w:val="000000" w:themeColor="text1"/>
                <w:sz w:val="28"/>
                <w:szCs w:val="28"/>
              </w:rPr>
              <w:t xml:space="preserve"> </w:t>
            </w:r>
            <w:r w:rsidR="00355558" w:rsidRPr="00621CDB">
              <w:rPr>
                <w:rFonts w:ascii="Times New Roman" w:eastAsia="Times New Roman" w:hAnsi="Times New Roman" w:cs="Times New Roman"/>
                <w:color w:val="000000" w:themeColor="text1"/>
                <w:sz w:val="28"/>
                <w:szCs w:val="28"/>
              </w:rPr>
              <w:t>Cách tiếp cận và phương pháp luận</w:t>
            </w: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308" w:lineRule="exact"/>
              <w:ind w:left="100"/>
              <w:jc w:val="center"/>
              <w:rPr>
                <w:rFonts w:ascii="Times New Roman" w:eastAsia="Times New Roman" w:hAnsi="Times New Roman" w:cs="Times New Roman"/>
                <w:color w:val="000000" w:themeColor="text1"/>
                <w:sz w:val="28"/>
              </w:rPr>
            </w:pPr>
            <w:r w:rsidRPr="00621CDB">
              <w:rPr>
                <w:rFonts w:ascii="Times New Roman" w:eastAsia="Times New Roman" w:hAnsi="Times New Roman" w:cs="Times New Roman"/>
                <w:color w:val="000000" w:themeColor="text1"/>
                <w:sz w:val="28"/>
              </w:rPr>
              <w:t>6</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355558" w:rsidP="00186A20">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Phương pháp luận phù hợp với nhiệm vụ</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355558" w:rsidP="008F76F1">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 xml:space="preserve">Đề xuất về kỹ thuật bao gồm tất cả hạng mục công việc quy định trong điều khoản tham chiếu. </w:t>
            </w:r>
            <w:r w:rsidR="008F76F1">
              <w:rPr>
                <w:rFonts w:ascii="Times New Roman" w:eastAsia="Times New Roman" w:hAnsi="Times New Roman" w:cs="Times New Roman"/>
                <w:color w:val="000000" w:themeColor="text1"/>
                <w:sz w:val="28"/>
                <w:szCs w:val="28"/>
              </w:rPr>
              <w:t>C</w:t>
            </w:r>
            <w:r w:rsidRPr="00621CDB">
              <w:rPr>
                <w:rFonts w:ascii="Times New Roman" w:eastAsia="Times New Roman" w:hAnsi="Times New Roman" w:cs="Times New Roman"/>
                <w:color w:val="000000" w:themeColor="text1"/>
                <w:sz w:val="28"/>
                <w:szCs w:val="28"/>
              </w:rPr>
              <w:t>ác hạng mục công việc được phân chia thành những nhiệm vụ cụ thể một cách hoàn chỉnh và logic.</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3</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355558" w:rsidP="00186A20">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Đề xuất trình bày rõ ràng làm thế nào để thực hiện được tốt công việc (đặc biệt là những công việc mang tính đặc thù của dự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355558"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2</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944FC0" w:rsidP="007514BE">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2.3.</w:t>
            </w:r>
            <w:r w:rsidR="007514BE" w:rsidRPr="00621CDB">
              <w:rPr>
                <w:rFonts w:ascii="Times New Roman" w:eastAsia="Times New Roman" w:hAnsi="Times New Roman" w:cs="Times New Roman"/>
                <w:color w:val="000000" w:themeColor="text1"/>
                <w:sz w:val="28"/>
                <w:szCs w:val="28"/>
              </w:rPr>
              <w:t xml:space="preserve"> </w:t>
            </w:r>
            <w:r w:rsidR="00355558" w:rsidRPr="00621CDB">
              <w:rPr>
                <w:rFonts w:ascii="Times New Roman" w:eastAsia="Times New Roman" w:hAnsi="Times New Roman" w:cs="Times New Roman"/>
                <w:color w:val="000000" w:themeColor="text1"/>
                <w:sz w:val="28"/>
                <w:szCs w:val="28"/>
              </w:rPr>
              <w:t>Sáng kiến cải tiến</w:t>
            </w:r>
          </w:p>
        </w:tc>
        <w:tc>
          <w:tcPr>
            <w:tcW w:w="1170" w:type="dxa"/>
            <w:tcBorders>
              <w:bottom w:val="single" w:sz="8" w:space="0" w:color="auto"/>
              <w:right w:val="single" w:sz="8" w:space="0" w:color="auto"/>
            </w:tcBorders>
            <w:shd w:val="clear" w:color="auto" w:fill="auto"/>
            <w:vAlign w:val="center"/>
          </w:tcPr>
          <w:p w:rsidR="00297DB5" w:rsidRPr="00621CDB" w:rsidRDefault="002B040C" w:rsidP="00D84B9B">
            <w:pPr>
              <w:spacing w:line="308" w:lineRule="exact"/>
              <w:ind w:left="100"/>
              <w:jc w:val="center"/>
              <w:rPr>
                <w:rFonts w:ascii="Times New Roman" w:eastAsia="Times New Roman" w:hAnsi="Times New Roman" w:cs="Times New Roman"/>
                <w:color w:val="000000" w:themeColor="text1"/>
                <w:sz w:val="28"/>
              </w:rPr>
            </w:pPr>
            <w:r w:rsidRPr="00621CDB">
              <w:rPr>
                <w:rFonts w:ascii="Times New Roman" w:eastAsia="Times New Roman" w:hAnsi="Times New Roman" w:cs="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2B040C" w:rsidP="007514BE">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Đề xuất các cải tiến để thực hiện tốt hơn các công việc nhằm nâng cao hiệu quả thực hiện các dự án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2B040C"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C5A93">
        <w:trPr>
          <w:trHeight w:val="309"/>
        </w:trPr>
        <w:tc>
          <w:tcPr>
            <w:tcW w:w="540" w:type="dxa"/>
            <w:vMerge/>
            <w:tcBorders>
              <w:left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2B040C" w:rsidP="007514BE">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Cách tiếp cận phương pháp luận của nhà thầu chuyên nghiệp và tiên tiến</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297DB5" w:rsidRPr="00621CDB" w:rsidRDefault="002B040C"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w:t>
            </w: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297DB5" w:rsidRPr="008C3331" w:rsidTr="00D84B9B">
        <w:trPr>
          <w:trHeight w:val="309"/>
        </w:trPr>
        <w:tc>
          <w:tcPr>
            <w:tcW w:w="540" w:type="dxa"/>
            <w:vMerge/>
            <w:tcBorders>
              <w:left w:val="single" w:sz="8" w:space="0" w:color="auto"/>
              <w:bottom w:val="single" w:sz="8" w:space="0" w:color="auto"/>
              <w:right w:val="single" w:sz="8" w:space="0" w:color="auto"/>
            </w:tcBorders>
            <w:shd w:val="clear" w:color="auto" w:fill="auto"/>
            <w:vAlign w:val="bottom"/>
          </w:tcPr>
          <w:p w:rsidR="00297DB5" w:rsidRPr="00621CDB" w:rsidRDefault="00297DB5"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297DB5" w:rsidRPr="00621CDB" w:rsidRDefault="00944FC0" w:rsidP="009C28D5">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2.4.</w:t>
            </w:r>
            <w:r w:rsidR="009C28D5" w:rsidRPr="00621CDB">
              <w:rPr>
                <w:rFonts w:ascii="Times New Roman" w:eastAsia="Times New Roman" w:hAnsi="Times New Roman" w:cs="Times New Roman"/>
                <w:color w:val="000000" w:themeColor="text1"/>
                <w:sz w:val="28"/>
                <w:szCs w:val="28"/>
              </w:rPr>
              <w:t xml:space="preserve"> </w:t>
            </w:r>
            <w:r w:rsidR="002B040C" w:rsidRPr="00621CDB">
              <w:rPr>
                <w:rFonts w:ascii="Times New Roman" w:eastAsia="Times New Roman" w:hAnsi="Times New Roman" w:cs="Times New Roman"/>
                <w:color w:val="000000" w:themeColor="text1"/>
                <w:sz w:val="28"/>
                <w:szCs w:val="28"/>
              </w:rPr>
              <w:t>Cách trình bày đề xuất</w:t>
            </w:r>
          </w:p>
        </w:tc>
        <w:tc>
          <w:tcPr>
            <w:tcW w:w="1170" w:type="dxa"/>
            <w:tcBorders>
              <w:bottom w:val="single" w:sz="8" w:space="0" w:color="auto"/>
              <w:right w:val="single" w:sz="8" w:space="0" w:color="auto"/>
            </w:tcBorders>
            <w:shd w:val="clear" w:color="auto" w:fill="auto"/>
            <w:vAlign w:val="center"/>
          </w:tcPr>
          <w:p w:rsidR="00297DB5" w:rsidRPr="00621CDB" w:rsidRDefault="002B040C" w:rsidP="00D84B9B">
            <w:pPr>
              <w:spacing w:line="308" w:lineRule="exact"/>
              <w:ind w:left="100"/>
              <w:jc w:val="center"/>
              <w:rPr>
                <w:rFonts w:ascii="Times New Roman" w:eastAsia="Times New Roman" w:hAnsi="Times New Roman" w:cs="Times New Roman"/>
                <w:color w:val="000000" w:themeColor="text1"/>
                <w:sz w:val="28"/>
              </w:rPr>
            </w:pPr>
            <w:r w:rsidRPr="00621CDB">
              <w:rPr>
                <w:rFonts w:ascii="Times New Roman" w:eastAsia="Times New Roman" w:hAnsi="Times New Roman" w:cs="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297DB5" w:rsidRPr="00621CDB" w:rsidRDefault="00297DB5"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val="restart"/>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44545A" w:rsidP="009C28D5">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Đề xuất được kết cấu và trình  bày một cách hợp lý dễ theo dõi</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w:t>
            </w: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44545A" w:rsidP="009C28D5">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Đề xuất hoàn chỉnh và thuyết phục</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1</w:t>
            </w: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0E7A26">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2.5.</w:t>
            </w:r>
            <w:r w:rsidR="0044545A" w:rsidRPr="00621CDB">
              <w:rPr>
                <w:rFonts w:ascii="Times New Roman" w:eastAsia="Times New Roman" w:hAnsi="Times New Roman" w:cs="Times New Roman"/>
                <w:color w:val="000000" w:themeColor="text1"/>
                <w:sz w:val="28"/>
                <w:szCs w:val="28"/>
              </w:rPr>
              <w:t xml:space="preserve"> Kế hoạch triển khai</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r w:rsidRPr="00621CDB">
              <w:rPr>
                <w:rFonts w:ascii="Times New Roman" w:eastAsia="Times New Roman" w:hAnsi="Times New Roman" w:cs="Times New Roman"/>
                <w:color w:val="000000" w:themeColor="text1"/>
                <w:sz w:val="28"/>
              </w:rPr>
              <w:t>12</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0E7A26">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2.5</w:t>
            </w:r>
            <w:r w:rsidR="0044545A" w:rsidRPr="00621CDB">
              <w:rPr>
                <w:rFonts w:ascii="Times New Roman" w:eastAsia="Times New Roman" w:hAnsi="Times New Roman" w:cs="Times New Roman"/>
                <w:color w:val="000000" w:themeColor="text1"/>
                <w:sz w:val="28"/>
                <w:szCs w:val="28"/>
              </w:rPr>
              <w:t>.1</w:t>
            </w:r>
            <w:r w:rsidR="000E7A26" w:rsidRPr="00621CDB">
              <w:rPr>
                <w:rFonts w:ascii="Times New Roman" w:eastAsia="Times New Roman" w:hAnsi="Times New Roman" w:cs="Times New Roman"/>
                <w:color w:val="000000" w:themeColor="text1"/>
                <w:sz w:val="28"/>
                <w:szCs w:val="28"/>
              </w:rPr>
              <w:t>.</w:t>
            </w:r>
            <w:r w:rsidR="0044545A" w:rsidRPr="00621CDB">
              <w:rPr>
                <w:rFonts w:ascii="Times New Roman" w:eastAsia="Times New Roman" w:hAnsi="Times New Roman" w:cs="Times New Roman"/>
                <w:color w:val="000000" w:themeColor="text1"/>
                <w:sz w:val="28"/>
                <w:szCs w:val="28"/>
              </w:rPr>
              <w:t xml:space="preserve"> Kế hoạch công việc bao gồm tất cả nhiệm vụ để thực hiện dự án. Mỗi một nhiệm vụ phải được phân tích, mô tả một cách hoàn chỉnh, phù hợp và rõ ràng.  </w:t>
            </w:r>
          </w:p>
        </w:tc>
        <w:tc>
          <w:tcPr>
            <w:tcW w:w="1170" w:type="dxa"/>
            <w:tcBorders>
              <w:bottom w:val="single" w:sz="8" w:space="0" w:color="auto"/>
              <w:right w:val="single" w:sz="8" w:space="0" w:color="auto"/>
            </w:tcBorders>
            <w:shd w:val="clear" w:color="auto" w:fill="auto"/>
            <w:vAlign w:val="center"/>
          </w:tcPr>
          <w:p w:rsidR="0044545A" w:rsidRPr="00621CDB" w:rsidRDefault="00651B08" w:rsidP="00D84B9B">
            <w:pPr>
              <w:spacing w:line="308" w:lineRule="exact"/>
              <w:ind w:left="100"/>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0E7A26">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2.5</w:t>
            </w:r>
            <w:r w:rsidR="0044545A" w:rsidRPr="00621CDB">
              <w:rPr>
                <w:rFonts w:ascii="Times New Roman" w:eastAsia="Times New Roman" w:hAnsi="Times New Roman" w:cs="Times New Roman"/>
                <w:color w:val="000000" w:themeColor="text1"/>
                <w:sz w:val="28"/>
                <w:szCs w:val="28"/>
              </w:rPr>
              <w:t>.2</w:t>
            </w:r>
            <w:r w:rsidR="000E7A26" w:rsidRPr="00621CDB">
              <w:rPr>
                <w:rFonts w:ascii="Times New Roman" w:eastAsia="Times New Roman" w:hAnsi="Times New Roman" w:cs="Times New Roman"/>
                <w:color w:val="000000" w:themeColor="text1"/>
                <w:sz w:val="28"/>
                <w:szCs w:val="28"/>
              </w:rPr>
              <w:t xml:space="preserve">. </w:t>
            </w:r>
            <w:r w:rsidR="0044545A" w:rsidRPr="00621CDB">
              <w:rPr>
                <w:rFonts w:ascii="Times New Roman" w:eastAsia="Times New Roman" w:hAnsi="Times New Roman" w:cs="Times New Roman"/>
                <w:color w:val="000000" w:themeColor="text1"/>
                <w:sz w:val="28"/>
                <w:szCs w:val="28"/>
              </w:rPr>
              <w:t>Kế hoạch triển kh</w:t>
            </w:r>
            <w:r w:rsidR="00B138FE">
              <w:rPr>
                <w:rFonts w:ascii="Times New Roman" w:eastAsia="Times New Roman" w:hAnsi="Times New Roman" w:cs="Times New Roman"/>
                <w:color w:val="000000" w:themeColor="text1"/>
                <w:sz w:val="28"/>
                <w:szCs w:val="28"/>
              </w:rPr>
              <w:t>ai phù hợp với phương pháp luận</w:t>
            </w:r>
          </w:p>
        </w:tc>
        <w:tc>
          <w:tcPr>
            <w:tcW w:w="1170" w:type="dxa"/>
            <w:tcBorders>
              <w:bottom w:val="single" w:sz="8" w:space="0" w:color="auto"/>
              <w:right w:val="single" w:sz="8" w:space="0" w:color="auto"/>
            </w:tcBorders>
            <w:shd w:val="clear" w:color="auto" w:fill="auto"/>
            <w:vAlign w:val="center"/>
          </w:tcPr>
          <w:p w:rsidR="0044545A" w:rsidRPr="00621CDB" w:rsidRDefault="00361663" w:rsidP="00D84B9B">
            <w:pPr>
              <w:spacing w:line="308" w:lineRule="exact"/>
              <w:ind w:left="100"/>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8228C7">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2.5</w:t>
            </w:r>
            <w:r w:rsidR="0044545A" w:rsidRPr="00621CDB">
              <w:rPr>
                <w:rFonts w:ascii="Times New Roman" w:eastAsia="Times New Roman" w:hAnsi="Times New Roman" w:cs="Times New Roman"/>
                <w:color w:val="000000" w:themeColor="text1"/>
                <w:sz w:val="28"/>
                <w:szCs w:val="28"/>
              </w:rPr>
              <w:t>.2.1</w:t>
            </w:r>
            <w:r w:rsidR="008347BB" w:rsidRPr="00621CDB">
              <w:rPr>
                <w:rFonts w:ascii="Times New Roman" w:eastAsia="Times New Roman" w:hAnsi="Times New Roman" w:cs="Times New Roman"/>
                <w:color w:val="000000" w:themeColor="text1"/>
                <w:sz w:val="28"/>
                <w:szCs w:val="28"/>
              </w:rPr>
              <w:t>.</w:t>
            </w:r>
            <w:r w:rsidR="0044545A" w:rsidRPr="00621CDB">
              <w:rPr>
                <w:rFonts w:ascii="Times New Roman" w:eastAsia="Times New Roman" w:hAnsi="Times New Roman" w:cs="Times New Roman"/>
                <w:color w:val="000000" w:themeColor="text1"/>
                <w:sz w:val="28"/>
                <w:szCs w:val="28"/>
              </w:rPr>
              <w:t xml:space="preserve"> </w:t>
            </w:r>
            <w:r w:rsidR="00810C36">
              <w:rPr>
                <w:rFonts w:ascii="Times New Roman" w:eastAsia="Times New Roman" w:hAnsi="Times New Roman" w:cs="Times New Roman"/>
                <w:color w:val="000000" w:themeColor="text1"/>
                <w:sz w:val="28"/>
                <w:szCs w:val="28"/>
              </w:rPr>
              <w:t>Đề xuất tiến độ thực hiện ≤ 6</w:t>
            </w:r>
            <w:r w:rsidR="008228C7">
              <w:rPr>
                <w:rFonts w:ascii="Times New Roman" w:eastAsia="Times New Roman" w:hAnsi="Times New Roman" w:cs="Times New Roman"/>
                <w:color w:val="000000" w:themeColor="text1"/>
                <w:sz w:val="28"/>
                <w:szCs w:val="28"/>
              </w:rPr>
              <w:t>0 ngày</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5</w:t>
            </w: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F8330B">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2.5</w:t>
            </w:r>
            <w:r w:rsidR="0044545A" w:rsidRPr="00621CDB">
              <w:rPr>
                <w:rFonts w:ascii="Times New Roman" w:eastAsia="Times New Roman" w:hAnsi="Times New Roman" w:cs="Times New Roman"/>
                <w:color w:val="000000" w:themeColor="text1"/>
                <w:sz w:val="28"/>
                <w:szCs w:val="28"/>
              </w:rPr>
              <w:t>.2.2</w:t>
            </w:r>
            <w:r w:rsidR="008347BB" w:rsidRPr="00621CDB">
              <w:rPr>
                <w:rFonts w:ascii="Times New Roman" w:eastAsia="Times New Roman" w:hAnsi="Times New Roman" w:cs="Times New Roman"/>
                <w:color w:val="000000" w:themeColor="text1"/>
                <w:sz w:val="28"/>
                <w:szCs w:val="28"/>
              </w:rPr>
              <w:t>.</w:t>
            </w:r>
            <w:r w:rsidR="0044545A" w:rsidRPr="00621CDB">
              <w:rPr>
                <w:rFonts w:ascii="Times New Roman" w:eastAsia="Times New Roman" w:hAnsi="Times New Roman" w:cs="Times New Roman"/>
                <w:color w:val="000000" w:themeColor="text1"/>
                <w:sz w:val="28"/>
                <w:szCs w:val="28"/>
              </w:rPr>
              <w:t xml:space="preserve"> </w:t>
            </w:r>
            <w:r w:rsidR="00810C36">
              <w:rPr>
                <w:rFonts w:ascii="Times New Roman" w:eastAsia="Times New Roman" w:hAnsi="Times New Roman" w:cs="Times New Roman"/>
                <w:color w:val="000000" w:themeColor="text1"/>
                <w:sz w:val="28"/>
                <w:szCs w:val="28"/>
              </w:rPr>
              <w:t>Đề xuất tiến độ thực hiện &gt; 6</w:t>
            </w:r>
            <w:r w:rsidR="008228C7">
              <w:rPr>
                <w:rFonts w:ascii="Times New Roman" w:eastAsia="Times New Roman" w:hAnsi="Times New Roman" w:cs="Times New Roman"/>
                <w:color w:val="000000" w:themeColor="text1"/>
                <w:sz w:val="28"/>
                <w:szCs w:val="28"/>
              </w:rPr>
              <w:t>0 ngày và ≤ 120 ngày</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r w:rsidRPr="00621CDB">
              <w:rPr>
                <w:rFonts w:ascii="Times New Roman" w:eastAsia="Times New Roman" w:hAnsi="Times New Roman" w:cs="Times New Roman"/>
                <w:color w:val="000000" w:themeColor="text1"/>
                <w:sz w:val="24"/>
              </w:rPr>
              <w:t>3</w:t>
            </w: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8347BB">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2.5</w:t>
            </w:r>
            <w:r w:rsidR="0044545A" w:rsidRPr="00621CDB">
              <w:rPr>
                <w:rFonts w:ascii="Times New Roman" w:eastAsia="Times New Roman" w:hAnsi="Times New Roman" w:cs="Times New Roman"/>
                <w:color w:val="000000" w:themeColor="text1"/>
                <w:sz w:val="28"/>
                <w:szCs w:val="28"/>
              </w:rPr>
              <w:t>.3</w:t>
            </w:r>
            <w:r w:rsidR="00A035C5">
              <w:rPr>
                <w:rFonts w:ascii="Times New Roman" w:eastAsia="Times New Roman" w:hAnsi="Times New Roman" w:cs="Times New Roman"/>
                <w:color w:val="000000" w:themeColor="text1"/>
                <w:sz w:val="28"/>
                <w:szCs w:val="28"/>
              </w:rPr>
              <w:t>.</w:t>
            </w:r>
            <w:r w:rsidR="0044545A" w:rsidRPr="00621CDB">
              <w:rPr>
                <w:rFonts w:ascii="Times New Roman" w:eastAsia="Times New Roman" w:hAnsi="Times New Roman" w:cs="Times New Roman"/>
                <w:color w:val="000000" w:themeColor="text1"/>
                <w:sz w:val="28"/>
                <w:szCs w:val="28"/>
              </w:rPr>
              <w:t xml:space="preserve"> Các bảng biểu mô tả kế hoạch thực hiện công việc và tiến độ nộp báo cáo</w:t>
            </w:r>
          </w:p>
        </w:tc>
        <w:tc>
          <w:tcPr>
            <w:tcW w:w="1170" w:type="dxa"/>
            <w:tcBorders>
              <w:bottom w:val="single" w:sz="8" w:space="0" w:color="auto"/>
              <w:right w:val="single" w:sz="8" w:space="0" w:color="auto"/>
            </w:tcBorders>
            <w:shd w:val="clear" w:color="auto" w:fill="auto"/>
            <w:vAlign w:val="center"/>
          </w:tcPr>
          <w:p w:rsidR="0044545A" w:rsidRPr="00621CDB" w:rsidRDefault="00361663" w:rsidP="00D84B9B">
            <w:pPr>
              <w:spacing w:line="308" w:lineRule="exact"/>
              <w:ind w:left="100"/>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944FC0" w:rsidP="008059C2">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2.6.</w:t>
            </w:r>
            <w:r w:rsidR="008059C2" w:rsidRPr="00621CDB">
              <w:rPr>
                <w:rFonts w:ascii="Times New Roman" w:eastAsia="Times New Roman" w:hAnsi="Times New Roman" w:cs="Times New Roman"/>
                <w:color w:val="000000" w:themeColor="text1"/>
                <w:sz w:val="28"/>
                <w:szCs w:val="28"/>
              </w:rPr>
              <w:t xml:space="preserve"> </w:t>
            </w:r>
            <w:r w:rsidR="0044545A" w:rsidRPr="00621CDB">
              <w:rPr>
                <w:rFonts w:ascii="Times New Roman" w:eastAsia="Times New Roman" w:hAnsi="Times New Roman" w:cs="Times New Roman"/>
                <w:color w:val="000000" w:themeColor="text1"/>
                <w:sz w:val="28"/>
                <w:szCs w:val="28"/>
              </w:rPr>
              <w:t>Bố trí nhân sự hợp lý</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r w:rsidRPr="00621CDB">
              <w:rPr>
                <w:rFonts w:ascii="Times New Roman" w:eastAsia="Times New Roman" w:hAnsi="Times New Roman" w:cs="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335773">
        <w:trPr>
          <w:trHeight w:val="309"/>
        </w:trPr>
        <w:tc>
          <w:tcPr>
            <w:tcW w:w="540" w:type="dxa"/>
            <w:vMerge/>
            <w:tcBorders>
              <w:left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44545A" w:rsidP="00BA6EDD">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Nhân sự được bố trí theo yêu cầu c</w:t>
            </w:r>
            <w:r w:rsidR="00BA6EDD" w:rsidRPr="00621CDB">
              <w:rPr>
                <w:rFonts w:ascii="Times New Roman" w:eastAsia="Times New Roman" w:hAnsi="Times New Roman" w:cs="Times New Roman"/>
                <w:color w:val="000000" w:themeColor="text1"/>
                <w:sz w:val="28"/>
                <w:szCs w:val="28"/>
              </w:rPr>
              <w:t>ủa</w:t>
            </w:r>
            <w:r w:rsidRPr="00621CDB">
              <w:rPr>
                <w:rFonts w:ascii="Times New Roman" w:eastAsia="Times New Roman" w:hAnsi="Times New Roman" w:cs="Times New Roman"/>
                <w:color w:val="000000" w:themeColor="text1"/>
                <w:sz w:val="28"/>
                <w:szCs w:val="28"/>
              </w:rPr>
              <w:t xml:space="preserve"> E-HSMT tại Mục 3</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44545A" w:rsidRPr="00621CDB" w:rsidRDefault="008B00AE"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3</w:t>
            </w: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44545A" w:rsidRPr="008C3331" w:rsidTr="00D84B9B">
        <w:trPr>
          <w:trHeight w:val="309"/>
        </w:trPr>
        <w:tc>
          <w:tcPr>
            <w:tcW w:w="540" w:type="dxa"/>
            <w:vMerge/>
            <w:tcBorders>
              <w:left w:val="single" w:sz="8" w:space="0" w:color="auto"/>
              <w:bottom w:val="single" w:sz="8" w:space="0" w:color="auto"/>
              <w:right w:val="single" w:sz="8" w:space="0" w:color="auto"/>
            </w:tcBorders>
            <w:shd w:val="clear" w:color="auto" w:fill="auto"/>
            <w:vAlign w:val="bottom"/>
          </w:tcPr>
          <w:p w:rsidR="0044545A" w:rsidRPr="00621CDB" w:rsidRDefault="0044545A" w:rsidP="002A51D8">
            <w:pPr>
              <w:spacing w:line="308" w:lineRule="exact"/>
              <w:jc w:val="center"/>
              <w:rPr>
                <w:rFonts w:ascii="Times New Roman" w:eastAsia="Times New Roman" w:hAnsi="Times New Roman" w:cs="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44545A" w:rsidRPr="00621CDB" w:rsidRDefault="0044545A" w:rsidP="008059C2">
            <w:pPr>
              <w:spacing w:line="308" w:lineRule="exact"/>
              <w:ind w:left="27" w:right="24" w:firstLine="567"/>
              <w:jc w:val="both"/>
              <w:rPr>
                <w:rFonts w:ascii="Times New Roman" w:eastAsia="Times New Roman" w:hAnsi="Times New Roman" w:cs="Times New Roman"/>
                <w:color w:val="000000" w:themeColor="text1"/>
                <w:sz w:val="28"/>
                <w:szCs w:val="28"/>
              </w:rPr>
            </w:pPr>
            <w:r w:rsidRPr="00621CDB">
              <w:rPr>
                <w:rFonts w:ascii="Times New Roman" w:eastAsia="Times New Roman" w:hAnsi="Times New Roman" w:cs="Times New Roman"/>
                <w:color w:val="000000" w:themeColor="text1"/>
                <w:sz w:val="28"/>
                <w:szCs w:val="28"/>
              </w:rPr>
              <w:t>Thời điểm và thời gian huy động tư vấn phù hợp với kế hoạch triển khai</w:t>
            </w:r>
          </w:p>
        </w:tc>
        <w:tc>
          <w:tcPr>
            <w:tcW w:w="1170" w:type="dxa"/>
            <w:tcBorders>
              <w:bottom w:val="single" w:sz="8" w:space="0" w:color="auto"/>
              <w:right w:val="single" w:sz="8" w:space="0" w:color="auto"/>
            </w:tcBorders>
            <w:shd w:val="clear" w:color="auto" w:fill="auto"/>
            <w:vAlign w:val="center"/>
          </w:tcPr>
          <w:p w:rsidR="0044545A" w:rsidRPr="00621CDB" w:rsidRDefault="0044545A" w:rsidP="00D84B9B">
            <w:pPr>
              <w:spacing w:line="308" w:lineRule="exact"/>
              <w:ind w:left="100"/>
              <w:jc w:val="center"/>
              <w:rPr>
                <w:rFonts w:ascii="Times New Roman" w:eastAsia="Times New Roman" w:hAnsi="Times New Roman" w:cs="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44545A" w:rsidRPr="00621CDB" w:rsidRDefault="008B00AE" w:rsidP="00D84B9B">
            <w:pPr>
              <w:spacing w:line="0" w:lineRule="atLeast"/>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2</w:t>
            </w:r>
          </w:p>
        </w:tc>
        <w:tc>
          <w:tcPr>
            <w:tcW w:w="1170" w:type="dxa"/>
            <w:tcBorders>
              <w:bottom w:val="single" w:sz="8" w:space="0" w:color="auto"/>
              <w:right w:val="single" w:sz="8" w:space="0" w:color="auto"/>
            </w:tcBorders>
            <w:vAlign w:val="center"/>
          </w:tcPr>
          <w:p w:rsidR="0044545A" w:rsidRPr="00621CDB" w:rsidRDefault="0044545A" w:rsidP="00D84B9B">
            <w:pPr>
              <w:spacing w:line="0" w:lineRule="atLeast"/>
              <w:jc w:val="center"/>
              <w:rPr>
                <w:rFonts w:ascii="Times New Roman" w:eastAsia="Times New Roman" w:hAnsi="Times New Roman" w:cs="Times New Roman"/>
                <w:color w:val="000000" w:themeColor="text1"/>
                <w:sz w:val="24"/>
              </w:rPr>
            </w:pPr>
          </w:p>
        </w:tc>
      </w:tr>
      <w:tr w:rsidR="00E90737" w:rsidRPr="008C3331" w:rsidTr="00D84B9B">
        <w:trPr>
          <w:trHeight w:val="309"/>
        </w:trPr>
        <w:tc>
          <w:tcPr>
            <w:tcW w:w="540" w:type="dxa"/>
            <w:tcBorders>
              <w:left w:val="single" w:sz="8" w:space="0" w:color="auto"/>
              <w:bottom w:val="single" w:sz="8" w:space="0" w:color="auto"/>
              <w:right w:val="single" w:sz="8" w:space="0" w:color="auto"/>
            </w:tcBorders>
            <w:shd w:val="clear" w:color="auto" w:fill="auto"/>
            <w:vAlign w:val="bottom"/>
          </w:tcPr>
          <w:p w:rsidR="00E90737" w:rsidRPr="00621CDB" w:rsidRDefault="0044545A" w:rsidP="002A51D8">
            <w:pPr>
              <w:spacing w:line="308" w:lineRule="exact"/>
              <w:jc w:val="center"/>
              <w:rPr>
                <w:rFonts w:ascii="Times New Roman" w:eastAsia="Times New Roman" w:hAnsi="Times New Roman" w:cs="Times New Roman"/>
                <w:b/>
                <w:color w:val="000000" w:themeColor="text1"/>
                <w:sz w:val="28"/>
              </w:rPr>
            </w:pPr>
            <w:r w:rsidRPr="00621CDB">
              <w:rPr>
                <w:rFonts w:ascii="Times New Roman" w:eastAsia="Times New Roman" w:hAnsi="Times New Roman" w:cs="Times New Roman"/>
                <w:b/>
                <w:color w:val="000000" w:themeColor="text1"/>
                <w:sz w:val="28"/>
              </w:rPr>
              <w:t>3</w:t>
            </w:r>
          </w:p>
        </w:tc>
        <w:tc>
          <w:tcPr>
            <w:tcW w:w="5580" w:type="dxa"/>
            <w:tcBorders>
              <w:bottom w:val="single" w:sz="8" w:space="0" w:color="auto"/>
              <w:right w:val="single" w:sz="8" w:space="0" w:color="auto"/>
            </w:tcBorders>
            <w:shd w:val="clear" w:color="auto" w:fill="auto"/>
            <w:vAlign w:val="bottom"/>
          </w:tcPr>
          <w:p w:rsidR="00E90737" w:rsidRPr="00621CDB" w:rsidRDefault="0044545A" w:rsidP="002A51D8">
            <w:pPr>
              <w:spacing w:line="308" w:lineRule="exact"/>
              <w:ind w:left="80"/>
              <w:rPr>
                <w:rFonts w:ascii="Times New Roman" w:eastAsia="Times New Roman" w:hAnsi="Times New Roman" w:cs="Times New Roman"/>
                <w:b/>
                <w:color w:val="000000" w:themeColor="text1"/>
                <w:sz w:val="28"/>
              </w:rPr>
            </w:pPr>
            <w:r w:rsidRPr="00621CDB">
              <w:rPr>
                <w:rFonts w:ascii="Times New Roman" w:eastAsia="Times New Roman" w:hAnsi="Times New Roman" w:cs="Times New Roman"/>
                <w:b/>
                <w:color w:val="000000" w:themeColor="text1"/>
                <w:sz w:val="28"/>
              </w:rPr>
              <w:t>Nhân sự</w:t>
            </w:r>
          </w:p>
        </w:tc>
        <w:tc>
          <w:tcPr>
            <w:tcW w:w="1170" w:type="dxa"/>
            <w:tcBorders>
              <w:bottom w:val="single" w:sz="8" w:space="0" w:color="auto"/>
              <w:right w:val="single" w:sz="8" w:space="0" w:color="auto"/>
            </w:tcBorders>
            <w:shd w:val="clear" w:color="auto" w:fill="auto"/>
            <w:vAlign w:val="center"/>
          </w:tcPr>
          <w:p w:rsidR="00E90737" w:rsidRPr="00621CDB" w:rsidRDefault="0044545A" w:rsidP="00D84B9B">
            <w:pPr>
              <w:spacing w:line="308" w:lineRule="exact"/>
              <w:ind w:left="100"/>
              <w:jc w:val="center"/>
              <w:rPr>
                <w:rFonts w:ascii="Times New Roman" w:eastAsia="Times New Roman" w:hAnsi="Times New Roman" w:cs="Times New Roman"/>
                <w:b/>
                <w:color w:val="000000" w:themeColor="text1"/>
                <w:sz w:val="28"/>
              </w:rPr>
            </w:pPr>
            <w:r w:rsidRPr="00621CDB">
              <w:rPr>
                <w:rFonts w:ascii="Times New Roman" w:eastAsia="Times New Roman" w:hAnsi="Times New Roman" w:cs="Times New Roman"/>
                <w:b/>
                <w:color w:val="000000" w:themeColor="text1"/>
                <w:sz w:val="28"/>
              </w:rPr>
              <w:t>50</w:t>
            </w:r>
          </w:p>
        </w:tc>
        <w:tc>
          <w:tcPr>
            <w:tcW w:w="1170" w:type="dxa"/>
            <w:tcBorders>
              <w:bottom w:val="single" w:sz="8" w:space="0" w:color="auto"/>
              <w:right w:val="single" w:sz="8" w:space="0" w:color="auto"/>
            </w:tcBorders>
            <w:shd w:val="clear" w:color="auto" w:fill="auto"/>
            <w:vAlign w:val="center"/>
          </w:tcPr>
          <w:p w:rsidR="00E90737" w:rsidRPr="00621CDB" w:rsidRDefault="00E90737" w:rsidP="00D84B9B">
            <w:pPr>
              <w:spacing w:line="0" w:lineRule="atLeast"/>
              <w:jc w:val="center"/>
              <w:rPr>
                <w:rFonts w:ascii="Times New Roman" w:eastAsia="Times New Roman" w:hAnsi="Times New Roman" w:cs="Times New Roman"/>
                <w:b/>
                <w:color w:val="000000" w:themeColor="text1"/>
                <w:sz w:val="24"/>
              </w:rPr>
            </w:pPr>
          </w:p>
        </w:tc>
        <w:tc>
          <w:tcPr>
            <w:tcW w:w="1170" w:type="dxa"/>
            <w:tcBorders>
              <w:bottom w:val="single" w:sz="8" w:space="0" w:color="auto"/>
              <w:right w:val="single" w:sz="8" w:space="0" w:color="auto"/>
            </w:tcBorders>
            <w:vAlign w:val="center"/>
          </w:tcPr>
          <w:p w:rsidR="00E90737" w:rsidRPr="00621CDB" w:rsidRDefault="0044545A" w:rsidP="00D84B9B">
            <w:pPr>
              <w:spacing w:line="0" w:lineRule="atLeast"/>
              <w:jc w:val="center"/>
              <w:rPr>
                <w:rFonts w:ascii="Times New Roman" w:eastAsia="Times New Roman" w:hAnsi="Times New Roman" w:cs="Times New Roman"/>
                <w:b/>
                <w:color w:val="000000" w:themeColor="text1"/>
                <w:sz w:val="24"/>
              </w:rPr>
            </w:pPr>
            <w:r w:rsidRPr="00621CDB">
              <w:rPr>
                <w:rFonts w:ascii="Times New Roman" w:eastAsia="Times New Roman" w:hAnsi="Times New Roman" w:cs="Times New Roman"/>
                <w:b/>
                <w:color w:val="000000" w:themeColor="text1"/>
                <w:sz w:val="24"/>
              </w:rPr>
              <w:t>35</w:t>
            </w:r>
          </w:p>
        </w:tc>
      </w:tr>
      <w:tr w:rsidR="008B3106" w:rsidRPr="008C3331" w:rsidTr="00147A15">
        <w:trPr>
          <w:trHeight w:val="309"/>
        </w:trPr>
        <w:tc>
          <w:tcPr>
            <w:tcW w:w="540" w:type="dxa"/>
            <w:vMerge w:val="restart"/>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Chủ nhiệm đồ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20</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2777B" w:rsidP="00173F73">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1</w:t>
            </w:r>
            <w:r w:rsidR="00173F73">
              <w:rPr>
                <w:rFonts w:ascii="Times New Roman" w:eastAsia="Times New Roman" w:hAnsi="Times New Roman"/>
                <w:color w:val="000000" w:themeColor="text1"/>
                <w:sz w:val="24"/>
              </w:rPr>
              <w:t>4</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3.1.1</w:t>
            </w:r>
            <w:r w:rsidR="003451B7" w:rsidRPr="00621CDB">
              <w:rPr>
                <w:rFonts w:ascii="Times New Roman" w:eastAsia="Times New Roman" w:hAnsi="Times New Roman"/>
                <w:color w:val="000000" w:themeColor="text1"/>
                <w:sz w:val="28"/>
              </w:rPr>
              <w:t>.</w:t>
            </w:r>
            <w:r w:rsidR="000460CA">
              <w:rPr>
                <w:rFonts w:ascii="Times New Roman" w:eastAsia="Times New Roman" w:hAnsi="Times New Roman"/>
                <w:color w:val="000000" w:themeColor="text1"/>
                <w:sz w:val="28"/>
              </w:rPr>
              <w:t xml:space="preserve"> Trình độ</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b/>
                <w:color w:val="000000" w:themeColor="text1"/>
                <w:sz w:val="28"/>
              </w:rPr>
            </w:pPr>
            <w:r w:rsidRPr="00621CDB">
              <w:rPr>
                <w:rFonts w:ascii="Times New Roman" w:eastAsia="Times New Roman" w:hAnsi="Times New Roman"/>
                <w:color w:val="000000" w:themeColor="text1"/>
                <w:sz w:val="28"/>
              </w:rPr>
              <w:t>10</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DA7E81"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7</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3.1.1.1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Trình độ trên đại học. Chuyên môn được đào tạo thuộc chuyên ngành: </w:t>
            </w:r>
            <w:r w:rsidR="00EE0376">
              <w:rPr>
                <w:rFonts w:ascii="Times New Roman" w:eastAsia="Times New Roman" w:hAnsi="Times New Roman"/>
                <w:color w:val="000000" w:themeColor="text1"/>
                <w:sz w:val="28"/>
              </w:rPr>
              <w:t xml:space="preserve">Kiến trúc hoặc </w:t>
            </w:r>
            <w:r w:rsidRPr="00621CDB">
              <w:rPr>
                <w:rFonts w:ascii="Times New Roman" w:eastAsia="Times New Roman" w:hAnsi="Times New Roman"/>
                <w:color w:val="000000" w:themeColor="text1"/>
                <w:sz w:val="28"/>
              </w:rPr>
              <w:t>Quy hoạch. Chứng chỉ hành nghề thiết kế quy hoạch xây dựng hạng II trở lên.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10</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3.1.1.2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Trình độ đại học. Chuyên môn được đào tạo thuộc chuyên ngành: </w:t>
            </w:r>
            <w:r w:rsidR="00EE0376">
              <w:rPr>
                <w:rFonts w:ascii="Times New Roman" w:eastAsia="Times New Roman" w:hAnsi="Times New Roman"/>
                <w:color w:val="000000" w:themeColor="text1"/>
                <w:sz w:val="28"/>
              </w:rPr>
              <w:t xml:space="preserve">Kiến trúc hoặc </w:t>
            </w:r>
            <w:r w:rsidRPr="00621CDB">
              <w:rPr>
                <w:rFonts w:ascii="Times New Roman" w:eastAsia="Times New Roman" w:hAnsi="Times New Roman"/>
                <w:color w:val="000000" w:themeColor="text1"/>
                <w:sz w:val="28"/>
              </w:rPr>
              <w:t>Quy hoạch. Chứng chỉ hành nghề thiết kế quy hoạch xây dựng hạng II trở lên.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DA7E81"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7</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5B1C08">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3.1.2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Kinh nghiệm chủ nhiệm đồ án </w:t>
            </w:r>
            <w:r w:rsidR="005B1C08">
              <w:rPr>
                <w:rFonts w:ascii="Times New Roman" w:eastAsia="Times New Roman" w:hAnsi="Times New Roman"/>
                <w:color w:val="000000" w:themeColor="text1"/>
                <w:sz w:val="28"/>
              </w:rPr>
              <w:t>q</w:t>
            </w:r>
            <w:r w:rsidRPr="00621CDB">
              <w:rPr>
                <w:rFonts w:ascii="Times New Roman" w:eastAsia="Times New Roman" w:hAnsi="Times New Roman"/>
                <w:color w:val="000000" w:themeColor="text1"/>
                <w:sz w:val="28"/>
              </w:rPr>
              <w:t xml:space="preserve">uy hoạch </w:t>
            </w:r>
            <w:r w:rsidR="0076152F">
              <w:rPr>
                <w:rFonts w:ascii="Times New Roman" w:eastAsia="Times New Roman" w:hAnsi="Times New Roman"/>
                <w:color w:val="000000" w:themeColor="text1"/>
                <w:sz w:val="28"/>
              </w:rPr>
              <w:t>trong 3 năm gần đây</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6</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2777B"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4</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9463B8" w:rsidRPr="00621CDB">
              <w:rPr>
                <w:rFonts w:ascii="Times New Roman" w:hAnsi="Times New Roman" w:cs="Times New Roman"/>
                <w:color w:val="000000" w:themeColor="text1"/>
                <w:sz w:val="30"/>
                <w:szCs w:val="30"/>
                <w:shd w:val="clear" w:color="auto" w:fill="FFFFFF"/>
              </w:rPr>
              <w:t xml:space="preserve">≥ </w:t>
            </w:r>
            <w:r w:rsidRPr="00621CDB">
              <w:rPr>
                <w:rFonts w:ascii="Times New Roman" w:eastAsia="Times New Roman" w:hAnsi="Times New Roman"/>
                <w:color w:val="000000" w:themeColor="text1"/>
                <w:sz w:val="28"/>
              </w:rPr>
              <w:t>5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6</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9463B8" w:rsidRPr="00621CDB">
              <w:rPr>
                <w:rFonts w:ascii="Times New Roman" w:eastAsia="Times New Roman" w:hAnsi="Times New Roman"/>
                <w:color w:val="000000" w:themeColor="text1"/>
                <w:sz w:val="28"/>
              </w:rPr>
              <w:t>2</w:t>
            </w:r>
            <w:r w:rsidR="003451B7" w:rsidRPr="00621CDB">
              <w:rPr>
                <w:rFonts w:ascii="Times New Roman" w:eastAsia="Times New Roman" w:hAnsi="Times New Roman"/>
                <w:color w:val="000000" w:themeColor="text1"/>
                <w:sz w:val="28"/>
              </w:rPr>
              <w:t xml:space="preserve"> </w:t>
            </w:r>
            <w:r w:rsidR="009463B8" w:rsidRPr="00621CDB">
              <w:rPr>
                <w:rFonts w:ascii="Times New Roman" w:eastAsia="Times New Roman" w:hAnsi="Times New Roman"/>
                <w:color w:val="000000" w:themeColor="text1"/>
                <w:sz w:val="28"/>
              </w:rPr>
              <w:t>- 4</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F2777B"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76152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Thực hiện 1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F2777B"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4</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497EC3">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3.1.3</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Kinh nghiệm làm việc trong lĩnh vực </w:t>
            </w:r>
            <w:r w:rsidR="00497EC3">
              <w:rPr>
                <w:rFonts w:ascii="Times New Roman" w:eastAsia="Times New Roman" w:hAnsi="Times New Roman"/>
                <w:color w:val="000000" w:themeColor="text1"/>
                <w:sz w:val="28"/>
              </w:rPr>
              <w:t>quy hoạch</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4</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173F73"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2A51D8">
            <w:pPr>
              <w:spacing w:line="308" w:lineRule="exact"/>
              <w:ind w:left="80"/>
              <w:rPr>
                <w:rFonts w:ascii="Times New Roman" w:eastAsia="Times New Roman" w:hAnsi="Times New Roman"/>
                <w:color w:val="000000" w:themeColor="text1"/>
                <w:sz w:val="28"/>
              </w:rPr>
            </w:pPr>
            <w:r w:rsidRPr="00621CDB">
              <w:rPr>
                <w:rFonts w:ascii="Times New Roman" w:hAnsi="Times New Roman" w:cs="Times New Roman"/>
                <w:color w:val="000000" w:themeColor="text1"/>
                <w:sz w:val="30"/>
                <w:szCs w:val="30"/>
                <w:shd w:val="clear" w:color="auto" w:fill="FFFFFF"/>
              </w:rPr>
              <w:t>≥ 15 năm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4</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9463B8" w:rsidP="009463B8">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Từ </w:t>
            </w:r>
            <w:r w:rsidR="008B3106" w:rsidRPr="00621CDB">
              <w:rPr>
                <w:rFonts w:ascii="Times New Roman" w:eastAsia="Times New Roman" w:hAnsi="Times New Roman"/>
                <w:color w:val="000000" w:themeColor="text1"/>
                <w:sz w:val="28"/>
              </w:rPr>
              <w:t>10</w:t>
            </w:r>
            <w:r w:rsidRPr="00621CDB">
              <w:rPr>
                <w:rFonts w:ascii="Times New Roman" w:eastAsia="Times New Roman" w:hAnsi="Times New Roman"/>
                <w:color w:val="000000" w:themeColor="text1"/>
                <w:sz w:val="28"/>
              </w:rPr>
              <w:t>-</w:t>
            </w:r>
            <w:r w:rsidR="008B3106" w:rsidRPr="00621CDB">
              <w:rPr>
                <w:rFonts w:ascii="Times New Roman" w:eastAsia="Times New Roman" w:hAnsi="Times New Roman"/>
                <w:color w:val="000000" w:themeColor="text1"/>
                <w:sz w:val="28"/>
              </w:rPr>
              <w:t>14 năm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991921"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r w:rsidR="00173F73">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9463B8" w:rsidP="009463B8">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Từ </w:t>
            </w:r>
            <w:r w:rsidR="008B3106" w:rsidRPr="00621CDB">
              <w:rPr>
                <w:rFonts w:ascii="Times New Roman" w:eastAsia="Times New Roman" w:hAnsi="Times New Roman"/>
                <w:color w:val="000000" w:themeColor="text1"/>
                <w:sz w:val="28"/>
              </w:rPr>
              <w:t>5</w:t>
            </w:r>
            <w:r w:rsidRPr="00621CDB">
              <w:rPr>
                <w:rFonts w:ascii="Times New Roman" w:eastAsia="Times New Roman" w:hAnsi="Times New Roman"/>
                <w:color w:val="000000" w:themeColor="text1"/>
                <w:sz w:val="28"/>
              </w:rPr>
              <w:t>-</w:t>
            </w:r>
            <w:r w:rsidR="008B3106" w:rsidRPr="00621CDB">
              <w:rPr>
                <w:rFonts w:ascii="Times New Roman" w:eastAsia="Times New Roman" w:hAnsi="Times New Roman"/>
                <w:color w:val="000000" w:themeColor="text1"/>
                <w:sz w:val="28"/>
              </w:rPr>
              <w:t>9 năm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173F73"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855A24">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Chủ trì thiết kế Quy hoạch xây dựng (Phải có chứng chỉ hành nghề thiết kế quy hoạch xây dựng hạng II</w:t>
            </w:r>
            <w:r w:rsidR="00855A24">
              <w:rPr>
                <w:rFonts w:ascii="Times New Roman" w:eastAsia="Times New Roman" w:hAnsi="Times New Roman"/>
                <w:color w:val="000000" w:themeColor="text1"/>
                <w:sz w:val="28"/>
              </w:rPr>
              <w:t xml:space="preserve"> mới </w:t>
            </w:r>
            <w:r w:rsidRPr="00621CDB">
              <w:rPr>
                <w:rFonts w:ascii="Times New Roman" w:eastAsia="Times New Roman" w:hAnsi="Times New Roman"/>
                <w:color w:val="000000" w:themeColor="text1"/>
                <w:sz w:val="28"/>
              </w:rPr>
              <w:t>được xem xét đánh giá). Có ít nhất 1</w:t>
            </w:r>
            <w:r w:rsidR="00056E0F" w:rsidRPr="00621CDB">
              <w:rPr>
                <w:rFonts w:ascii="Times New Roman" w:eastAsia="Times New Roman" w:hAnsi="Times New Roman"/>
                <w:color w:val="000000" w:themeColor="text1"/>
                <w:sz w:val="28"/>
              </w:rPr>
              <w:t>0</w:t>
            </w:r>
            <w:r w:rsidRPr="00621CDB">
              <w:rPr>
                <w:rFonts w:ascii="Times New Roman" w:eastAsia="Times New Roman" w:hAnsi="Times New Roman"/>
                <w:color w:val="000000" w:themeColor="text1"/>
                <w:sz w:val="28"/>
              </w:rPr>
              <w:t xml:space="preserve"> năm kinh nghiệm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8</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D06D3"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5</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2A51D8">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3.2.1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Trình độ</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855A24"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56E0F">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3.2.1.1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Tốt nghiệp</w:t>
            </w:r>
            <w:r w:rsidR="00056E0F" w:rsidRPr="00621CDB">
              <w:rPr>
                <w:rFonts w:ascii="Times New Roman" w:eastAsia="Times New Roman" w:hAnsi="Times New Roman"/>
                <w:color w:val="000000" w:themeColor="text1"/>
                <w:sz w:val="28"/>
              </w:rPr>
              <w:t xml:space="preserve"> trên </w:t>
            </w:r>
            <w:r w:rsidRPr="00621CDB">
              <w:rPr>
                <w:rFonts w:ascii="Times New Roman" w:eastAsia="Times New Roman" w:hAnsi="Times New Roman"/>
                <w:color w:val="000000" w:themeColor="text1"/>
                <w:sz w:val="28"/>
              </w:rPr>
              <w:t xml:space="preserve">đại học. Chuyên môn được đào tạo thuộc chuyên ngành: </w:t>
            </w:r>
            <w:r w:rsidR="00D026B6">
              <w:rPr>
                <w:rFonts w:ascii="Times New Roman" w:eastAsia="Times New Roman" w:hAnsi="Times New Roman"/>
                <w:color w:val="000000" w:themeColor="text1"/>
                <w:sz w:val="28"/>
              </w:rPr>
              <w:t xml:space="preserve">Kiến trúc hoặc </w:t>
            </w:r>
            <w:r w:rsidRPr="00621CDB">
              <w:rPr>
                <w:rFonts w:ascii="Times New Roman" w:eastAsia="Times New Roman" w:hAnsi="Times New Roman"/>
                <w:color w:val="000000" w:themeColor="text1"/>
                <w:sz w:val="28"/>
              </w:rPr>
              <w:t xml:space="preserve">Quy hoạch </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56E0F">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3.2.1.2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Tốt nghiệp đại học. Chuyên môn được đào tạo thuộc các chuyên ngành: </w:t>
            </w:r>
            <w:r w:rsidR="00D026B6">
              <w:rPr>
                <w:rFonts w:ascii="Times New Roman" w:eastAsia="Times New Roman" w:hAnsi="Times New Roman"/>
                <w:color w:val="000000" w:themeColor="text1"/>
                <w:sz w:val="28"/>
              </w:rPr>
              <w:t xml:space="preserve">Kiến trúc hoặc </w:t>
            </w:r>
            <w:r w:rsidR="00056E0F" w:rsidRPr="00621CDB">
              <w:rPr>
                <w:rFonts w:ascii="Times New Roman" w:eastAsia="Times New Roman" w:hAnsi="Times New Roman"/>
                <w:color w:val="000000" w:themeColor="text1"/>
                <w:sz w:val="28"/>
              </w:rPr>
              <w:t>Quy hoạch</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9A2720">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3.2.2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Kinh nghiệm chủ trì thiết kế </w:t>
            </w:r>
            <w:r w:rsidR="00056E0F" w:rsidRPr="00621CDB">
              <w:rPr>
                <w:rFonts w:ascii="Times New Roman" w:eastAsia="Times New Roman" w:hAnsi="Times New Roman"/>
                <w:color w:val="000000" w:themeColor="text1"/>
                <w:sz w:val="28"/>
              </w:rPr>
              <w:t xml:space="preserve">Quy </w:t>
            </w:r>
            <w:r w:rsidRPr="00621CDB">
              <w:rPr>
                <w:rFonts w:ascii="Times New Roman" w:eastAsia="Times New Roman" w:hAnsi="Times New Roman"/>
                <w:color w:val="000000" w:themeColor="text1"/>
                <w:sz w:val="28"/>
              </w:rPr>
              <w:t>hoạch</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D06D3"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9A2720">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9A2720">
              <w:rPr>
                <w:rFonts w:ascii="Times New Roman" w:eastAsia="Times New Roman" w:hAnsi="Times New Roman"/>
                <w:color w:val="000000" w:themeColor="text1"/>
                <w:sz w:val="28"/>
              </w:rPr>
              <w:t>5</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C84000">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C84000">
              <w:rPr>
                <w:rFonts w:ascii="Times New Roman" w:eastAsia="Times New Roman" w:hAnsi="Times New Roman"/>
                <w:color w:val="000000" w:themeColor="text1"/>
                <w:sz w:val="28"/>
              </w:rPr>
              <w:t>3</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2</w:t>
            </w:r>
            <w:r w:rsidR="00FD06D3">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C84000">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C84000">
              <w:rPr>
                <w:rFonts w:ascii="Times New Roman" w:eastAsia="Times New Roman" w:hAnsi="Times New Roman"/>
                <w:color w:val="000000" w:themeColor="text1"/>
                <w:sz w:val="28"/>
              </w:rPr>
              <w:t>1</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FD06D3"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06B2E">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3.3</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Chủ trì thiết kế phần quy hoạch giao </w:t>
            </w:r>
            <w:proofErr w:type="gramStart"/>
            <w:r w:rsidRPr="00621CDB">
              <w:rPr>
                <w:rFonts w:ascii="Times New Roman" w:eastAsia="Times New Roman" w:hAnsi="Times New Roman"/>
                <w:color w:val="000000" w:themeColor="text1"/>
                <w:sz w:val="28"/>
              </w:rPr>
              <w:t>thông  (</w:t>
            </w:r>
            <w:proofErr w:type="gramEnd"/>
            <w:r w:rsidRPr="00621CDB">
              <w:rPr>
                <w:rFonts w:ascii="Times New Roman" w:eastAsia="Times New Roman" w:hAnsi="Times New Roman"/>
                <w:color w:val="000000" w:themeColor="text1"/>
                <w:sz w:val="28"/>
              </w:rPr>
              <w:t>phải có chứng chỉ hành nghề thiết kế xây dựng giao thông đường bộ, còn hiệu lực mới được xem xét đánh giá). Có ít nhất 07 năm kinh nghiệm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88574E"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4</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06B2E">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3.3.1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Trình độ: Tốt nghiệp</w:t>
            </w:r>
            <w:r w:rsidR="00056E0F" w:rsidRPr="00621CDB">
              <w:rPr>
                <w:rFonts w:ascii="Times New Roman" w:eastAsia="Times New Roman" w:hAnsi="Times New Roman"/>
                <w:color w:val="000000" w:themeColor="text1"/>
                <w:sz w:val="28"/>
              </w:rPr>
              <w:t xml:space="preserve"> từ</w:t>
            </w:r>
            <w:r w:rsidRPr="00621CDB">
              <w:rPr>
                <w:rFonts w:ascii="Times New Roman" w:eastAsia="Times New Roman" w:hAnsi="Times New Roman"/>
                <w:color w:val="000000" w:themeColor="text1"/>
                <w:sz w:val="28"/>
              </w:rPr>
              <w:t xml:space="preserve"> đại học trở lên. Chuyên môn được đào tạo thuộc chuyên ngành: Xây dựng giao thông.</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7F373B"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06B2E">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3.3.2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Kinh nghiệm chủ trì thiết kế phần giao thông trong các đồ án quy hoạch xây dựng hoặc thiết kế công trình giao thông hoặc thiết kế hạ tầng kỹ thuật.</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88574E"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56E0F">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056E0F" w:rsidRPr="00621CDB">
              <w:rPr>
                <w:rFonts w:ascii="Times New Roman" w:eastAsia="Times New Roman" w:hAnsi="Times New Roman"/>
                <w:color w:val="000000" w:themeColor="text1"/>
                <w:sz w:val="28"/>
              </w:rPr>
              <w:t>3</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56E0F">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056E0F" w:rsidRPr="00621CDB">
              <w:rPr>
                <w:rFonts w:ascii="Times New Roman" w:eastAsia="Times New Roman" w:hAnsi="Times New Roman"/>
                <w:color w:val="000000" w:themeColor="text1"/>
                <w:sz w:val="28"/>
              </w:rPr>
              <w:t>2</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2</w:t>
            </w:r>
            <w:r w:rsidR="0088574E">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163D49">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Thực hiện 1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8574E"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BC657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3.4</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Chủ trì thiết kế Quy hoạch cấp thoát nước (Phải có chứng chỉ hành nghề hạ tầng kỹ thuật, còn hiệu lực mới được xem xét đánh giá), có ít nhất 1</w:t>
            </w:r>
            <w:r w:rsidR="00056E0F" w:rsidRPr="00621CDB">
              <w:rPr>
                <w:rFonts w:ascii="Times New Roman" w:eastAsia="Times New Roman" w:hAnsi="Times New Roman"/>
                <w:color w:val="000000" w:themeColor="text1"/>
                <w:sz w:val="28"/>
              </w:rPr>
              <w:t>5</w:t>
            </w:r>
            <w:r w:rsidRPr="00621CDB">
              <w:rPr>
                <w:rFonts w:ascii="Times New Roman" w:eastAsia="Times New Roman" w:hAnsi="Times New Roman"/>
                <w:color w:val="000000" w:themeColor="text1"/>
                <w:sz w:val="28"/>
              </w:rPr>
              <w:t xml:space="preserve"> năm kinh nghiệm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B859A9"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4</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9F0599">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3.4.1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Trình độ: Tốt nghiệp</w:t>
            </w:r>
            <w:r w:rsidR="00056E0F" w:rsidRPr="00621CDB">
              <w:rPr>
                <w:rFonts w:ascii="Times New Roman" w:eastAsia="Times New Roman" w:hAnsi="Times New Roman"/>
                <w:color w:val="000000" w:themeColor="text1"/>
                <w:sz w:val="28"/>
              </w:rPr>
              <w:t xml:space="preserve"> từ</w:t>
            </w:r>
            <w:r w:rsidRPr="00621CDB">
              <w:rPr>
                <w:rFonts w:ascii="Times New Roman" w:eastAsia="Times New Roman" w:hAnsi="Times New Roman"/>
                <w:color w:val="000000" w:themeColor="text1"/>
                <w:sz w:val="28"/>
              </w:rPr>
              <w:t xml:space="preserve"> đại học trở lên. Chuyên môn được đào tạo thuộc chuyên ngành: </w:t>
            </w:r>
            <w:r w:rsidR="00251464">
              <w:rPr>
                <w:rFonts w:ascii="Times New Roman" w:eastAsia="Times New Roman" w:hAnsi="Times New Roman"/>
                <w:color w:val="000000" w:themeColor="text1"/>
                <w:sz w:val="28"/>
              </w:rPr>
              <w:t>Thủy lợi</w:t>
            </w:r>
            <w:r w:rsidR="009F0599">
              <w:rPr>
                <w:rFonts w:ascii="Times New Roman" w:eastAsia="Times New Roman" w:hAnsi="Times New Roman"/>
                <w:color w:val="000000" w:themeColor="text1"/>
                <w:sz w:val="28"/>
              </w:rPr>
              <w:t xml:space="preserve"> hoặc</w:t>
            </w:r>
            <w:r w:rsidR="00251464">
              <w:rPr>
                <w:rFonts w:ascii="Times New Roman" w:eastAsia="Times New Roman" w:hAnsi="Times New Roman"/>
                <w:color w:val="000000" w:themeColor="text1"/>
                <w:sz w:val="28"/>
              </w:rPr>
              <w:t xml:space="preserve"> </w:t>
            </w:r>
            <w:r w:rsidRPr="00621CDB">
              <w:rPr>
                <w:rFonts w:ascii="Times New Roman" w:eastAsia="Times New Roman" w:hAnsi="Times New Roman"/>
                <w:color w:val="000000" w:themeColor="text1"/>
                <w:sz w:val="28"/>
              </w:rPr>
              <w:t>Cấp thoát nước hoặc Kỹ sư đô thị.</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106D8E"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BC657F">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3.4.2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Chủ trì thi</w:t>
            </w:r>
            <w:bookmarkStart w:id="1" w:name="_GoBack"/>
            <w:bookmarkEnd w:id="1"/>
            <w:r w:rsidRPr="00621CDB">
              <w:rPr>
                <w:rFonts w:ascii="Times New Roman" w:eastAsia="Times New Roman" w:hAnsi="Times New Roman"/>
                <w:color w:val="000000" w:themeColor="text1"/>
                <w:sz w:val="28"/>
              </w:rPr>
              <w:t xml:space="preserve">ết kế phần Cấp thoát nước các đồ án Quy hoạch hoặc các công trình </w:t>
            </w:r>
            <w:r w:rsidR="0007795C" w:rsidRPr="00621CDB">
              <w:rPr>
                <w:rFonts w:ascii="Times New Roman" w:eastAsia="Times New Roman" w:hAnsi="Times New Roman"/>
                <w:color w:val="000000" w:themeColor="text1"/>
                <w:sz w:val="28"/>
              </w:rPr>
              <w:t>hạ tầng kỹ thuật</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4D031A"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BD0A2D">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056E0F" w:rsidRPr="00621CDB">
              <w:rPr>
                <w:rFonts w:ascii="Times New Roman" w:hAnsi="Times New Roman" w:cs="Times New Roman"/>
                <w:color w:val="000000" w:themeColor="text1"/>
                <w:sz w:val="30"/>
                <w:szCs w:val="30"/>
                <w:shd w:val="clear" w:color="auto" w:fill="FFFFFF"/>
              </w:rPr>
              <w:t xml:space="preserve">≥ </w:t>
            </w:r>
            <w:r w:rsidR="00F12355" w:rsidRPr="00621CDB">
              <w:rPr>
                <w:rFonts w:ascii="Times New Roman" w:eastAsia="Times New Roman" w:hAnsi="Times New Roman"/>
                <w:color w:val="000000" w:themeColor="text1"/>
                <w:sz w:val="28"/>
              </w:rPr>
              <w:t>1</w:t>
            </w:r>
            <w:r w:rsidR="00BD0A2D">
              <w:rPr>
                <w:rFonts w:ascii="Times New Roman" w:eastAsia="Times New Roman" w:hAnsi="Times New Roman"/>
                <w:color w:val="000000" w:themeColor="text1"/>
                <w:sz w:val="28"/>
              </w:rPr>
              <w:t>0</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309"/>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BD0A2D">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056E0F" w:rsidRPr="00621CDB">
              <w:rPr>
                <w:rFonts w:ascii="Times New Roman" w:eastAsia="Times New Roman" w:hAnsi="Times New Roman"/>
                <w:color w:val="000000" w:themeColor="text1"/>
                <w:sz w:val="28"/>
              </w:rPr>
              <w:t xml:space="preserve">từ </w:t>
            </w:r>
            <w:r w:rsidR="00BD0A2D">
              <w:rPr>
                <w:rFonts w:ascii="Times New Roman" w:eastAsia="Times New Roman" w:hAnsi="Times New Roman"/>
                <w:color w:val="000000" w:themeColor="text1"/>
                <w:sz w:val="28"/>
              </w:rPr>
              <w:t>8</w:t>
            </w:r>
            <w:r w:rsidR="00E675D6">
              <w:rPr>
                <w:rFonts w:ascii="Times New Roman" w:eastAsia="Times New Roman" w:hAnsi="Times New Roman"/>
                <w:color w:val="000000" w:themeColor="text1"/>
                <w:sz w:val="28"/>
              </w:rPr>
              <w:t>-</w:t>
            </w:r>
            <w:r w:rsidR="00F12355" w:rsidRPr="00621CDB">
              <w:rPr>
                <w:rFonts w:ascii="Times New Roman" w:eastAsia="Times New Roman" w:hAnsi="Times New Roman"/>
                <w:color w:val="000000" w:themeColor="text1"/>
                <w:sz w:val="28"/>
              </w:rPr>
              <w:t>1</w:t>
            </w:r>
            <w:r w:rsidR="00BD0A2D">
              <w:rPr>
                <w:rFonts w:ascii="Times New Roman" w:eastAsia="Times New Roman" w:hAnsi="Times New Roman"/>
                <w:color w:val="000000" w:themeColor="text1"/>
                <w:sz w:val="28"/>
              </w:rPr>
              <w:t>0</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2</w:t>
            </w:r>
            <w:r w:rsidR="004D031A">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E675D6">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E675D6">
              <w:rPr>
                <w:rFonts w:ascii="Times New Roman" w:eastAsia="Times New Roman" w:hAnsi="Times New Roman"/>
                <w:color w:val="000000" w:themeColor="text1"/>
                <w:sz w:val="28"/>
              </w:rPr>
              <w:t>1-7</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4D031A" w:rsidP="00163D49">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92450B">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3.5</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Chủ trì thiết kế Quy hoạch điện (Phải có chứng chỉ hành nghề thiết kế công trình điện, còn hiệu lực mới được</w:t>
            </w:r>
            <w:r w:rsidR="00056E0F" w:rsidRPr="00621CDB">
              <w:rPr>
                <w:rFonts w:ascii="Times New Roman" w:eastAsia="Times New Roman" w:hAnsi="Times New Roman"/>
                <w:color w:val="000000" w:themeColor="text1"/>
                <w:sz w:val="28"/>
              </w:rPr>
              <w:t xml:space="preserve"> xem xét đánh giá), có ít nhất 1</w:t>
            </w:r>
            <w:r w:rsidRPr="00621CDB">
              <w:rPr>
                <w:rFonts w:ascii="Times New Roman" w:eastAsia="Times New Roman" w:hAnsi="Times New Roman"/>
                <w:color w:val="000000" w:themeColor="text1"/>
                <w:sz w:val="28"/>
              </w:rPr>
              <w:t>5 năm kinh nghiệm.</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8084C"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463FC9">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3.5.1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Trình độ: Tốt nghiệp</w:t>
            </w:r>
            <w:r w:rsidR="00056E0F" w:rsidRPr="00621CDB">
              <w:rPr>
                <w:rFonts w:ascii="Times New Roman" w:eastAsia="Times New Roman" w:hAnsi="Times New Roman"/>
                <w:color w:val="000000" w:themeColor="text1"/>
                <w:sz w:val="28"/>
              </w:rPr>
              <w:t xml:space="preserve"> từ</w:t>
            </w:r>
            <w:r w:rsidRPr="00621CDB">
              <w:rPr>
                <w:rFonts w:ascii="Times New Roman" w:eastAsia="Times New Roman" w:hAnsi="Times New Roman"/>
                <w:color w:val="000000" w:themeColor="text1"/>
                <w:sz w:val="28"/>
              </w:rPr>
              <w:t xml:space="preserve"> đại học trở lên. Chuyên môn được đào tạo thuộc chuyên ngành: Điện kỹ thuật</w:t>
            </w:r>
            <w:r w:rsidR="0092450B">
              <w:rPr>
                <w:rFonts w:ascii="Times New Roman" w:eastAsia="Times New Roman" w:hAnsi="Times New Roman"/>
                <w:color w:val="000000" w:themeColor="text1"/>
                <w:sz w:val="28"/>
              </w:rPr>
              <w:t>.</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8084C"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804819">
            <w:pPr>
              <w:spacing w:line="308" w:lineRule="exact"/>
              <w:ind w:left="80"/>
              <w:jc w:val="both"/>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3.5.2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Kinh nghiệm Chủ trì thiết kế Điện các đồ án Quy hoạch hoặc các công trình </w:t>
            </w:r>
            <w:r w:rsidR="00C4137E" w:rsidRPr="00621CDB">
              <w:rPr>
                <w:rFonts w:ascii="Times New Roman" w:eastAsia="Times New Roman" w:hAnsi="Times New Roman"/>
                <w:color w:val="000000" w:themeColor="text1"/>
                <w:sz w:val="28"/>
              </w:rPr>
              <w:t>hạ tầng kỹ thuật</w:t>
            </w:r>
            <w:r w:rsidRPr="00621CDB">
              <w:rPr>
                <w:rFonts w:ascii="Times New Roman" w:eastAsia="Times New Roman" w:hAnsi="Times New Roman"/>
                <w:color w:val="000000" w:themeColor="text1"/>
                <w:sz w:val="28"/>
              </w:rPr>
              <w:t xml:space="preserve"> có hạng mục điện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w:t>
            </w: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F8084C"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1</w:t>
            </w: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804819">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596384" w:rsidRPr="00621CDB">
              <w:rPr>
                <w:rFonts w:ascii="Times New Roman" w:hAnsi="Times New Roman" w:cs="Times New Roman"/>
                <w:color w:val="000000" w:themeColor="text1"/>
                <w:sz w:val="30"/>
                <w:szCs w:val="30"/>
                <w:shd w:val="clear" w:color="auto" w:fill="FFFFFF"/>
              </w:rPr>
              <w:t>≥</w:t>
            </w:r>
            <w:r w:rsidR="00804819">
              <w:rPr>
                <w:rFonts w:ascii="Times New Roman" w:eastAsia="Times New Roman" w:hAnsi="Times New Roman"/>
                <w:color w:val="000000" w:themeColor="text1"/>
                <w:sz w:val="28"/>
              </w:rPr>
              <w:t xml:space="preserve"> 7</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804819">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596384" w:rsidRPr="00621CDB">
              <w:rPr>
                <w:rFonts w:ascii="Times New Roman" w:eastAsia="Times New Roman" w:hAnsi="Times New Roman"/>
                <w:color w:val="000000" w:themeColor="text1"/>
                <w:sz w:val="28"/>
              </w:rPr>
              <w:t xml:space="preserve">từ </w:t>
            </w:r>
            <w:r w:rsidR="00804819">
              <w:rPr>
                <w:rFonts w:ascii="Times New Roman" w:eastAsia="Times New Roman" w:hAnsi="Times New Roman"/>
                <w:color w:val="000000" w:themeColor="text1"/>
                <w:sz w:val="28"/>
              </w:rPr>
              <w:t>4</w:t>
            </w:r>
            <w:r w:rsidR="00596384" w:rsidRPr="00621CDB">
              <w:rPr>
                <w:rFonts w:ascii="Times New Roman" w:eastAsia="Times New Roman" w:hAnsi="Times New Roman"/>
                <w:color w:val="000000" w:themeColor="text1"/>
                <w:sz w:val="28"/>
              </w:rPr>
              <w:t>-</w:t>
            </w:r>
            <w:r w:rsidR="00804819">
              <w:rPr>
                <w:rFonts w:ascii="Times New Roman" w:eastAsia="Times New Roman" w:hAnsi="Times New Roman"/>
                <w:color w:val="000000" w:themeColor="text1"/>
                <w:sz w:val="28"/>
              </w:rPr>
              <w:t>6</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2</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523069">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Thực hiện </w:t>
            </w:r>
            <w:r w:rsidR="005B6027">
              <w:rPr>
                <w:rFonts w:ascii="Times New Roman" w:eastAsia="Times New Roman" w:hAnsi="Times New Roman"/>
                <w:color w:val="000000" w:themeColor="text1"/>
                <w:sz w:val="28"/>
              </w:rPr>
              <w:t>1-</w:t>
            </w:r>
            <w:r w:rsidR="00523069">
              <w:rPr>
                <w:rFonts w:ascii="Times New Roman" w:eastAsia="Times New Roman" w:hAnsi="Times New Roman"/>
                <w:color w:val="000000" w:themeColor="text1"/>
                <w:sz w:val="28"/>
              </w:rPr>
              <w:t>3</w:t>
            </w:r>
            <w:r w:rsidRPr="00621CDB">
              <w:rPr>
                <w:rFonts w:ascii="Times New Roman" w:eastAsia="Times New Roman" w:hAnsi="Times New Roman"/>
                <w:color w:val="000000" w:themeColor="text1"/>
                <w:sz w:val="28"/>
              </w:rPr>
              <w:t xml:space="preserve"> dự án</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1</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163D49">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3.6</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Chuyên gia các lĩnh vực</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7</w:t>
            </w: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50444E"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5</w:t>
            </w: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163D49">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3.6.1</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Kiến trúc sư</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5</w:t>
            </w: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50444E"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130C57" w:rsidP="000D0745">
            <w:pPr>
              <w:spacing w:line="308" w:lineRule="exact"/>
              <w:ind w:left="80"/>
              <w:rPr>
                <w:rFonts w:ascii="Times New Roman" w:eastAsia="Times New Roman" w:hAnsi="Times New Roman"/>
                <w:color w:val="000000" w:themeColor="text1"/>
                <w:sz w:val="28"/>
              </w:rPr>
            </w:pPr>
            <w:r w:rsidRPr="00621CDB">
              <w:rPr>
                <w:rFonts w:ascii="Times New Roman" w:hAnsi="Times New Roman" w:cs="Times New Roman"/>
                <w:color w:val="000000" w:themeColor="text1"/>
                <w:sz w:val="30"/>
                <w:szCs w:val="30"/>
                <w:shd w:val="clear" w:color="auto" w:fill="FFFFFF"/>
              </w:rPr>
              <w:t xml:space="preserve">Có </w:t>
            </w:r>
            <w:r w:rsidR="0082182A" w:rsidRPr="00621CDB">
              <w:rPr>
                <w:rFonts w:ascii="Times New Roman" w:hAnsi="Times New Roman" w:cs="Times New Roman"/>
                <w:color w:val="000000" w:themeColor="text1"/>
                <w:sz w:val="30"/>
                <w:szCs w:val="30"/>
                <w:shd w:val="clear" w:color="auto" w:fill="FFFFFF"/>
              </w:rPr>
              <w:t>≥</w:t>
            </w:r>
            <w:r w:rsidR="008B3106" w:rsidRPr="00621CDB">
              <w:rPr>
                <w:rFonts w:ascii="Times New Roman" w:eastAsia="Times New Roman" w:hAnsi="Times New Roman"/>
                <w:color w:val="000000" w:themeColor="text1"/>
                <w:sz w:val="28"/>
              </w:rPr>
              <w:t xml:space="preserve"> </w:t>
            </w:r>
            <w:r w:rsidR="000D0745">
              <w:rPr>
                <w:rFonts w:ascii="Times New Roman" w:eastAsia="Times New Roman" w:hAnsi="Times New Roman"/>
                <w:color w:val="000000" w:themeColor="text1"/>
                <w:sz w:val="28"/>
              </w:rPr>
              <w:t>6</w:t>
            </w:r>
            <w:r w:rsidR="008B3106" w:rsidRPr="00621CDB">
              <w:rPr>
                <w:rFonts w:ascii="Times New Roman" w:eastAsia="Times New Roman" w:hAnsi="Times New Roman"/>
                <w:color w:val="000000" w:themeColor="text1"/>
                <w:sz w:val="28"/>
              </w:rPr>
              <w:t xml:space="preserve"> người</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5</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596384" w:rsidP="000D0745">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Từ </w:t>
            </w:r>
            <w:r w:rsidR="000D0745">
              <w:rPr>
                <w:rFonts w:ascii="Times New Roman" w:eastAsia="Times New Roman" w:hAnsi="Times New Roman"/>
                <w:color w:val="000000" w:themeColor="text1"/>
                <w:sz w:val="28"/>
              </w:rPr>
              <w:t>3</w:t>
            </w:r>
            <w:r w:rsidR="00F57EDD">
              <w:rPr>
                <w:rFonts w:ascii="Times New Roman" w:eastAsia="Times New Roman" w:hAnsi="Times New Roman"/>
                <w:color w:val="000000" w:themeColor="text1"/>
                <w:sz w:val="28"/>
              </w:rPr>
              <w:t>-</w:t>
            </w:r>
            <w:r w:rsidR="000D0745">
              <w:rPr>
                <w:rFonts w:ascii="Times New Roman" w:eastAsia="Times New Roman" w:hAnsi="Times New Roman"/>
                <w:color w:val="000000" w:themeColor="text1"/>
                <w:sz w:val="28"/>
              </w:rPr>
              <w:t>5</w:t>
            </w:r>
            <w:r w:rsidR="008B3106" w:rsidRPr="00621CDB">
              <w:rPr>
                <w:rFonts w:ascii="Times New Roman" w:eastAsia="Times New Roman" w:hAnsi="Times New Roman"/>
                <w:color w:val="000000" w:themeColor="text1"/>
                <w:sz w:val="28"/>
              </w:rPr>
              <w:t xml:space="preserve"> người</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50444E" w:rsidP="00163D49">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4</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C77F51">
            <w:pPr>
              <w:spacing w:line="308" w:lineRule="exact"/>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  </w:t>
            </w:r>
            <w:r w:rsidR="00130C57" w:rsidRPr="00621CDB">
              <w:rPr>
                <w:rFonts w:ascii="Times New Roman" w:eastAsia="Times New Roman" w:hAnsi="Times New Roman"/>
                <w:color w:val="000000" w:themeColor="text1"/>
                <w:sz w:val="28"/>
              </w:rPr>
              <w:t xml:space="preserve">Có </w:t>
            </w:r>
            <w:r w:rsidR="005B6027">
              <w:rPr>
                <w:rFonts w:ascii="Times New Roman" w:eastAsia="Times New Roman" w:hAnsi="Times New Roman"/>
                <w:color w:val="000000" w:themeColor="text1"/>
                <w:sz w:val="28"/>
              </w:rPr>
              <w:t>1-</w:t>
            </w:r>
            <w:r w:rsidR="00C77F51">
              <w:rPr>
                <w:rFonts w:ascii="Times New Roman" w:eastAsia="Times New Roman" w:hAnsi="Times New Roman"/>
                <w:color w:val="000000" w:themeColor="text1"/>
                <w:sz w:val="28"/>
              </w:rPr>
              <w:t>2</w:t>
            </w:r>
            <w:r w:rsidRPr="00621CDB">
              <w:rPr>
                <w:rFonts w:ascii="Times New Roman" w:eastAsia="Times New Roman" w:hAnsi="Times New Roman"/>
                <w:color w:val="000000" w:themeColor="text1"/>
                <w:sz w:val="28"/>
              </w:rPr>
              <w:t xml:space="preserve"> người</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50444E" w:rsidP="00163D49">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3</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E48AB">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3.6.2</w:t>
            </w:r>
            <w:r w:rsidR="003451B7" w:rsidRPr="00621CDB">
              <w:rPr>
                <w:rFonts w:ascii="Times New Roman" w:eastAsia="Times New Roman" w:hAnsi="Times New Roman"/>
                <w:color w:val="000000" w:themeColor="text1"/>
                <w:sz w:val="28"/>
              </w:rPr>
              <w:t>.</w:t>
            </w:r>
            <w:r w:rsidRPr="00621CDB">
              <w:rPr>
                <w:rFonts w:ascii="Times New Roman" w:eastAsia="Times New Roman" w:hAnsi="Times New Roman"/>
                <w:color w:val="000000" w:themeColor="text1"/>
                <w:sz w:val="28"/>
              </w:rPr>
              <w:t xml:space="preserve"> Chuyên gia khác </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2</w:t>
            </w: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p>
        </w:tc>
        <w:tc>
          <w:tcPr>
            <w:tcW w:w="1170" w:type="dxa"/>
            <w:tcBorders>
              <w:bottom w:val="single" w:sz="8" w:space="0" w:color="auto"/>
              <w:right w:val="single" w:sz="8" w:space="0" w:color="auto"/>
            </w:tcBorders>
            <w:vAlign w:val="center"/>
          </w:tcPr>
          <w:p w:rsidR="008B3106" w:rsidRPr="00621CDB" w:rsidRDefault="00807684" w:rsidP="00D84B9B">
            <w:pPr>
              <w:spacing w:line="0" w:lineRule="atLeast"/>
              <w:jc w:val="center"/>
              <w:rPr>
                <w:rFonts w:ascii="Times New Roman" w:eastAsia="Times New Roman" w:hAnsi="Times New Roman"/>
                <w:color w:val="000000" w:themeColor="text1"/>
                <w:sz w:val="24"/>
              </w:rPr>
            </w:pPr>
            <w:r>
              <w:rPr>
                <w:rFonts w:ascii="Times New Roman" w:eastAsia="Times New Roman" w:hAnsi="Times New Roman"/>
                <w:color w:val="000000" w:themeColor="text1"/>
                <w:sz w:val="24"/>
              </w:rPr>
              <w:t>2</w:t>
            </w:r>
          </w:p>
        </w:tc>
      </w:tr>
      <w:tr w:rsidR="008B3106" w:rsidRPr="008C3331" w:rsidTr="00147A15">
        <w:trPr>
          <w:trHeight w:val="67"/>
        </w:trPr>
        <w:tc>
          <w:tcPr>
            <w:tcW w:w="540" w:type="dxa"/>
            <w:vMerge/>
            <w:tcBorders>
              <w:left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8B3106" w:rsidP="000D0745">
            <w:pPr>
              <w:spacing w:line="308" w:lineRule="exact"/>
              <w:ind w:left="80"/>
              <w:rPr>
                <w:rFonts w:ascii="Times New Roman" w:eastAsia="Times New Roman" w:hAnsi="Times New Roman"/>
                <w:color w:val="000000" w:themeColor="text1"/>
                <w:sz w:val="28"/>
              </w:rPr>
            </w:pPr>
            <w:r w:rsidRPr="00621CDB">
              <w:rPr>
                <w:rFonts w:ascii="Times New Roman" w:eastAsia="Times New Roman" w:hAnsi="Times New Roman"/>
                <w:color w:val="000000" w:themeColor="text1"/>
                <w:sz w:val="28"/>
              </w:rPr>
              <w:t xml:space="preserve">Cử nhân kinh tế: </w:t>
            </w:r>
            <w:r w:rsidR="00596384" w:rsidRPr="00621CDB">
              <w:rPr>
                <w:rFonts w:ascii="Times New Roman" w:hAnsi="Times New Roman" w:cs="Times New Roman"/>
                <w:color w:val="000000" w:themeColor="text1"/>
                <w:sz w:val="30"/>
                <w:szCs w:val="30"/>
                <w:shd w:val="clear" w:color="auto" w:fill="FFFFFF"/>
              </w:rPr>
              <w:t>≥</w:t>
            </w:r>
            <w:r w:rsidR="00F57EDD">
              <w:rPr>
                <w:rFonts w:ascii="Times New Roman" w:hAnsi="Times New Roman" w:cs="Times New Roman"/>
                <w:color w:val="000000" w:themeColor="text1"/>
                <w:sz w:val="30"/>
                <w:szCs w:val="30"/>
                <w:shd w:val="clear" w:color="auto" w:fill="FFFFFF"/>
              </w:rPr>
              <w:t xml:space="preserve"> </w:t>
            </w:r>
            <w:r w:rsidRPr="00621CDB">
              <w:rPr>
                <w:rFonts w:ascii="Times New Roman" w:eastAsia="Times New Roman" w:hAnsi="Times New Roman"/>
                <w:color w:val="000000" w:themeColor="text1"/>
                <w:sz w:val="28"/>
              </w:rPr>
              <w:t>1 người</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1</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8B3106" w:rsidRPr="008C3331" w:rsidTr="00D218DA">
        <w:trPr>
          <w:trHeight w:val="67"/>
        </w:trPr>
        <w:tc>
          <w:tcPr>
            <w:tcW w:w="540" w:type="dxa"/>
            <w:vMerge/>
            <w:tcBorders>
              <w:left w:val="single" w:sz="8" w:space="0" w:color="auto"/>
              <w:bottom w:val="single" w:sz="8" w:space="0" w:color="auto"/>
              <w:right w:val="single" w:sz="8" w:space="0" w:color="auto"/>
            </w:tcBorders>
            <w:shd w:val="clear" w:color="auto" w:fill="auto"/>
            <w:vAlign w:val="bottom"/>
          </w:tcPr>
          <w:p w:rsidR="008B3106" w:rsidRPr="00621CDB" w:rsidRDefault="008B3106" w:rsidP="002A51D8">
            <w:pPr>
              <w:spacing w:line="308" w:lineRule="exact"/>
              <w:jc w:val="center"/>
              <w:rPr>
                <w:rFonts w:ascii="Times New Roman" w:eastAsia="Times New Roman" w:hAnsi="Times New Roman"/>
                <w:color w:val="000000" w:themeColor="text1"/>
                <w:sz w:val="28"/>
              </w:rPr>
            </w:pPr>
          </w:p>
        </w:tc>
        <w:tc>
          <w:tcPr>
            <w:tcW w:w="5580" w:type="dxa"/>
            <w:tcBorders>
              <w:bottom w:val="single" w:sz="8" w:space="0" w:color="auto"/>
              <w:right w:val="single" w:sz="8" w:space="0" w:color="auto"/>
            </w:tcBorders>
            <w:shd w:val="clear" w:color="auto" w:fill="auto"/>
            <w:vAlign w:val="bottom"/>
          </w:tcPr>
          <w:p w:rsidR="008B3106" w:rsidRPr="00621CDB" w:rsidRDefault="000D0745" w:rsidP="0082182A">
            <w:pPr>
              <w:spacing w:line="308" w:lineRule="exact"/>
              <w:ind w:left="80"/>
              <w:rPr>
                <w:rFonts w:ascii="Times New Roman" w:eastAsia="Times New Roman" w:hAnsi="Times New Roman"/>
                <w:color w:val="000000" w:themeColor="text1"/>
                <w:sz w:val="28"/>
              </w:rPr>
            </w:pPr>
            <w:r>
              <w:rPr>
                <w:rFonts w:ascii="Times New Roman" w:eastAsia="Times New Roman" w:hAnsi="Times New Roman"/>
                <w:color w:val="000000" w:themeColor="text1"/>
                <w:sz w:val="28"/>
              </w:rPr>
              <w:t>Cử nhân kế toán</w:t>
            </w:r>
            <w:r w:rsidR="008B3106" w:rsidRPr="00621CDB">
              <w:rPr>
                <w:rFonts w:ascii="Times New Roman" w:eastAsia="Times New Roman" w:hAnsi="Times New Roman"/>
                <w:color w:val="000000" w:themeColor="text1"/>
                <w:sz w:val="28"/>
              </w:rPr>
              <w:t xml:space="preserve">: </w:t>
            </w:r>
            <w:r w:rsidR="00596384" w:rsidRPr="00621CDB">
              <w:rPr>
                <w:rFonts w:ascii="Times New Roman" w:hAnsi="Times New Roman" w:cs="Times New Roman"/>
                <w:color w:val="000000" w:themeColor="text1"/>
                <w:sz w:val="30"/>
                <w:szCs w:val="30"/>
                <w:shd w:val="clear" w:color="auto" w:fill="FFFFFF"/>
              </w:rPr>
              <w:t>≥</w:t>
            </w:r>
            <w:r w:rsidR="008B3106" w:rsidRPr="00621CDB">
              <w:rPr>
                <w:rFonts w:ascii="Times New Roman" w:eastAsia="Times New Roman" w:hAnsi="Times New Roman"/>
                <w:color w:val="000000" w:themeColor="text1"/>
                <w:sz w:val="28"/>
              </w:rPr>
              <w:t xml:space="preserve"> 1 người</w:t>
            </w:r>
          </w:p>
        </w:tc>
        <w:tc>
          <w:tcPr>
            <w:tcW w:w="1170" w:type="dxa"/>
            <w:tcBorders>
              <w:bottom w:val="single" w:sz="8" w:space="0" w:color="auto"/>
              <w:right w:val="single" w:sz="8" w:space="0" w:color="auto"/>
            </w:tcBorders>
            <w:shd w:val="clear" w:color="auto" w:fill="auto"/>
            <w:vAlign w:val="center"/>
          </w:tcPr>
          <w:p w:rsidR="008B3106" w:rsidRPr="00621CDB" w:rsidRDefault="008B3106" w:rsidP="00D84B9B">
            <w:pPr>
              <w:spacing w:line="308" w:lineRule="exact"/>
              <w:ind w:left="100"/>
              <w:jc w:val="center"/>
              <w:rPr>
                <w:rFonts w:ascii="Times New Roman" w:eastAsia="Times New Roman" w:hAnsi="Times New Roman"/>
                <w:color w:val="000000" w:themeColor="text1"/>
                <w:sz w:val="28"/>
              </w:rPr>
            </w:pPr>
          </w:p>
        </w:tc>
        <w:tc>
          <w:tcPr>
            <w:tcW w:w="1170" w:type="dxa"/>
            <w:tcBorders>
              <w:bottom w:val="single" w:sz="8" w:space="0" w:color="auto"/>
              <w:right w:val="single" w:sz="8" w:space="0" w:color="auto"/>
            </w:tcBorders>
            <w:shd w:val="clear" w:color="auto" w:fill="auto"/>
            <w:vAlign w:val="center"/>
          </w:tcPr>
          <w:p w:rsidR="008B3106" w:rsidRPr="00621CDB" w:rsidRDefault="008B3106" w:rsidP="00163D49">
            <w:pPr>
              <w:spacing w:line="0" w:lineRule="atLeast"/>
              <w:jc w:val="center"/>
              <w:rPr>
                <w:rFonts w:ascii="Times New Roman" w:eastAsia="Times New Roman" w:hAnsi="Times New Roman"/>
                <w:color w:val="000000" w:themeColor="text1"/>
                <w:sz w:val="24"/>
              </w:rPr>
            </w:pPr>
            <w:r w:rsidRPr="00621CDB">
              <w:rPr>
                <w:rFonts w:ascii="Times New Roman" w:eastAsia="Times New Roman" w:hAnsi="Times New Roman"/>
                <w:color w:val="000000" w:themeColor="text1"/>
                <w:sz w:val="24"/>
              </w:rPr>
              <w:t>1</w:t>
            </w:r>
          </w:p>
        </w:tc>
        <w:tc>
          <w:tcPr>
            <w:tcW w:w="1170" w:type="dxa"/>
            <w:tcBorders>
              <w:bottom w:val="single" w:sz="8" w:space="0" w:color="auto"/>
              <w:right w:val="single" w:sz="8" w:space="0" w:color="auto"/>
            </w:tcBorders>
            <w:vAlign w:val="center"/>
          </w:tcPr>
          <w:p w:rsidR="008B3106" w:rsidRPr="00621CDB" w:rsidRDefault="008B3106" w:rsidP="00D84B9B">
            <w:pPr>
              <w:spacing w:line="0" w:lineRule="atLeast"/>
              <w:jc w:val="center"/>
              <w:rPr>
                <w:rFonts w:ascii="Times New Roman" w:eastAsia="Times New Roman" w:hAnsi="Times New Roman"/>
                <w:color w:val="000000" w:themeColor="text1"/>
                <w:sz w:val="24"/>
              </w:rPr>
            </w:pPr>
          </w:p>
        </w:tc>
      </w:tr>
      <w:tr w:rsidR="00D37A27" w:rsidRPr="008C3331" w:rsidTr="00B3063C">
        <w:trPr>
          <w:trHeight w:val="507"/>
        </w:trPr>
        <w:tc>
          <w:tcPr>
            <w:tcW w:w="540" w:type="dxa"/>
            <w:tcBorders>
              <w:left w:val="single" w:sz="8" w:space="0" w:color="auto"/>
              <w:bottom w:val="single" w:sz="8" w:space="0" w:color="auto"/>
              <w:right w:val="single" w:sz="8" w:space="0" w:color="auto"/>
            </w:tcBorders>
            <w:shd w:val="clear" w:color="auto" w:fill="auto"/>
            <w:vAlign w:val="bottom"/>
          </w:tcPr>
          <w:p w:rsidR="00D37A27" w:rsidRPr="00621CDB" w:rsidRDefault="00D37A27" w:rsidP="002A51D8">
            <w:pPr>
              <w:spacing w:line="308" w:lineRule="exact"/>
              <w:jc w:val="center"/>
              <w:rPr>
                <w:rFonts w:ascii="Times New Roman" w:eastAsia="Times New Roman" w:hAnsi="Times New Roman"/>
                <w:b/>
                <w:color w:val="000000" w:themeColor="text1"/>
                <w:sz w:val="28"/>
              </w:rPr>
            </w:pPr>
          </w:p>
        </w:tc>
        <w:tc>
          <w:tcPr>
            <w:tcW w:w="5580" w:type="dxa"/>
            <w:tcBorders>
              <w:bottom w:val="single" w:sz="8" w:space="0" w:color="auto"/>
              <w:right w:val="single" w:sz="8" w:space="0" w:color="auto"/>
            </w:tcBorders>
            <w:shd w:val="clear" w:color="auto" w:fill="auto"/>
            <w:vAlign w:val="center"/>
          </w:tcPr>
          <w:p w:rsidR="00D37A27" w:rsidRPr="00621CDB" w:rsidRDefault="00961806" w:rsidP="00B3063C">
            <w:pPr>
              <w:spacing w:line="308" w:lineRule="exact"/>
              <w:ind w:left="80"/>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Tổng cộng (100%)</w:t>
            </w:r>
          </w:p>
        </w:tc>
        <w:tc>
          <w:tcPr>
            <w:tcW w:w="1170" w:type="dxa"/>
            <w:tcBorders>
              <w:bottom w:val="single" w:sz="8" w:space="0" w:color="auto"/>
              <w:right w:val="single" w:sz="8" w:space="0" w:color="auto"/>
            </w:tcBorders>
            <w:shd w:val="clear" w:color="auto" w:fill="auto"/>
            <w:vAlign w:val="center"/>
          </w:tcPr>
          <w:p w:rsidR="00D37A27" w:rsidRPr="00621CDB" w:rsidRDefault="00961806" w:rsidP="00D84B9B">
            <w:pPr>
              <w:spacing w:line="308" w:lineRule="exact"/>
              <w:ind w:left="100"/>
              <w:jc w:val="center"/>
              <w:rPr>
                <w:rFonts w:ascii="Times New Roman" w:eastAsia="Times New Roman" w:hAnsi="Times New Roman"/>
                <w:b/>
                <w:color w:val="000000" w:themeColor="text1"/>
                <w:sz w:val="28"/>
              </w:rPr>
            </w:pPr>
            <w:r w:rsidRPr="00621CDB">
              <w:rPr>
                <w:rFonts w:ascii="Times New Roman" w:eastAsia="Times New Roman" w:hAnsi="Times New Roman"/>
                <w:b/>
                <w:color w:val="000000" w:themeColor="text1"/>
                <w:sz w:val="28"/>
              </w:rPr>
              <w:t>100</w:t>
            </w:r>
          </w:p>
        </w:tc>
        <w:tc>
          <w:tcPr>
            <w:tcW w:w="1170" w:type="dxa"/>
            <w:tcBorders>
              <w:bottom w:val="single" w:sz="8" w:space="0" w:color="auto"/>
              <w:right w:val="single" w:sz="8" w:space="0" w:color="auto"/>
            </w:tcBorders>
            <w:shd w:val="clear" w:color="auto" w:fill="auto"/>
            <w:vAlign w:val="center"/>
          </w:tcPr>
          <w:p w:rsidR="00D37A27" w:rsidRPr="00621CDB" w:rsidRDefault="00D37A27" w:rsidP="00163D49">
            <w:pPr>
              <w:spacing w:line="0" w:lineRule="atLeast"/>
              <w:jc w:val="center"/>
              <w:rPr>
                <w:rFonts w:ascii="Times New Roman" w:eastAsia="Times New Roman" w:hAnsi="Times New Roman"/>
                <w:b/>
                <w:color w:val="000000" w:themeColor="text1"/>
                <w:sz w:val="24"/>
              </w:rPr>
            </w:pPr>
          </w:p>
        </w:tc>
        <w:tc>
          <w:tcPr>
            <w:tcW w:w="1170" w:type="dxa"/>
            <w:tcBorders>
              <w:bottom w:val="single" w:sz="8" w:space="0" w:color="auto"/>
              <w:right w:val="single" w:sz="8" w:space="0" w:color="auto"/>
            </w:tcBorders>
            <w:vAlign w:val="center"/>
          </w:tcPr>
          <w:p w:rsidR="00D37A27" w:rsidRPr="00621CDB" w:rsidRDefault="00961806" w:rsidP="00D84B9B">
            <w:pPr>
              <w:spacing w:line="0" w:lineRule="atLeast"/>
              <w:jc w:val="center"/>
              <w:rPr>
                <w:rFonts w:ascii="Times New Roman" w:eastAsia="Times New Roman" w:hAnsi="Times New Roman"/>
                <w:b/>
                <w:color w:val="000000" w:themeColor="text1"/>
                <w:sz w:val="24"/>
              </w:rPr>
            </w:pPr>
            <w:r w:rsidRPr="00621CDB">
              <w:rPr>
                <w:rFonts w:ascii="Times New Roman" w:eastAsia="Times New Roman" w:hAnsi="Times New Roman"/>
                <w:b/>
                <w:color w:val="000000" w:themeColor="text1"/>
                <w:sz w:val="24"/>
              </w:rPr>
              <w:t>70</w:t>
            </w:r>
          </w:p>
        </w:tc>
      </w:tr>
    </w:tbl>
    <w:p w:rsidR="000E6A3B" w:rsidRPr="008C3331" w:rsidRDefault="000E6A3B" w:rsidP="00C90E41">
      <w:pPr>
        <w:rPr>
          <w:rFonts w:ascii="Times New Roman" w:eastAsia="Times New Roman" w:hAnsi="Times New Roman"/>
          <w:color w:val="000000" w:themeColor="text1"/>
          <w:sz w:val="24"/>
        </w:rPr>
      </w:pPr>
    </w:p>
    <w:p w:rsidR="000E6A3B" w:rsidRPr="008C3331" w:rsidRDefault="000E6A3B" w:rsidP="008D1ACE">
      <w:pPr>
        <w:spacing w:before="60" w:after="60"/>
        <w:ind w:firstLine="567"/>
        <w:jc w:val="both"/>
        <w:rPr>
          <w:rFonts w:ascii="Times New Roman" w:eastAsia="Times New Roman" w:hAnsi="Times New Roman"/>
          <w:color w:val="000000" w:themeColor="text1"/>
          <w:sz w:val="28"/>
          <w:u w:val="single"/>
        </w:rPr>
      </w:pPr>
      <w:r w:rsidRPr="008C3331">
        <w:rPr>
          <w:rFonts w:ascii="Times New Roman" w:eastAsia="Times New Roman" w:hAnsi="Times New Roman"/>
          <w:b/>
          <w:color w:val="000000" w:themeColor="text1"/>
          <w:sz w:val="28"/>
          <w:u w:val="single"/>
        </w:rPr>
        <w:t>Ghi chú</w:t>
      </w:r>
      <w:r w:rsidRPr="008C3331">
        <w:rPr>
          <w:rFonts w:ascii="Times New Roman" w:eastAsia="Times New Roman" w:hAnsi="Times New Roman"/>
          <w:color w:val="000000" w:themeColor="text1"/>
          <w:sz w:val="28"/>
          <w:u w:val="single"/>
        </w:rPr>
        <w:t>:</w:t>
      </w:r>
    </w:p>
    <w:p w:rsidR="00DD6D0A" w:rsidRDefault="00DD6D0A" w:rsidP="00AA01DB">
      <w:pPr>
        <w:spacing w:before="60" w:after="60"/>
        <w:ind w:firstLine="567"/>
        <w:jc w:val="both"/>
        <w:rPr>
          <w:rFonts w:ascii="Times New Roman" w:eastAsia="Times New Roman" w:hAnsi="Times New Roman"/>
          <w:color w:val="000000" w:themeColor="text1"/>
          <w:sz w:val="28"/>
        </w:rPr>
      </w:pPr>
      <w:r w:rsidRPr="00DD6D0A">
        <w:rPr>
          <w:rFonts w:ascii="Times New Roman" w:eastAsia="Times New Roman" w:hAnsi="Times New Roman"/>
          <w:color w:val="000000" w:themeColor="text1"/>
          <w:sz w:val="28"/>
        </w:rPr>
        <w:t>Nhân sự chủ chốt nêu tại nội dung số 3 của bảng trên có hợp đồng lao động dài hạn hoặc không xác định thời hạn ký với nhà thầu. Trường hợp sử dụng một số nhân sự chủ chốt không thuộc quản lý của nhà thầu thì phải nêu rõ lý do</w:t>
      </w:r>
      <w:r>
        <w:rPr>
          <w:rFonts w:ascii="Times New Roman" w:eastAsia="Times New Roman" w:hAnsi="Times New Roman"/>
          <w:color w:val="000000" w:themeColor="text1"/>
          <w:sz w:val="28"/>
        </w:rPr>
        <w:t>.</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Tài liệu chứng minh kinh nghiệm đối với các chức danh chủ nhiệm, chủ trì là Bảng xác nhận chủ đầu tư hoặc các tài liệu chứng minh khác có sự tham gia các cồng việc như Biên bản nghiệm thu hợp đồng hoặc Quyết định phê duyệt đồ án quy hoạch hoặc các tài liệu chứng minh tương đương năng lực của các chuyên gia thực hiện căn cứ vào bảng kê khai năng lực.</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 xml:space="preserve">Các tài liệu chứng minh (Bằng cấp, chứng chỉ hành nghề còn hiệu lực và các hồ sơ liên quan để chứng minh) đều phải có chứng </w:t>
      </w:r>
      <w:r w:rsidR="00283DA1" w:rsidRPr="008C3331">
        <w:rPr>
          <w:rFonts w:ascii="Times New Roman" w:eastAsia="Times New Roman" w:hAnsi="Times New Roman"/>
          <w:color w:val="000000" w:themeColor="text1"/>
          <w:sz w:val="28"/>
        </w:rPr>
        <w:t>thực</w:t>
      </w:r>
      <w:r w:rsidRPr="008C3331">
        <w:rPr>
          <w:rFonts w:ascii="Times New Roman" w:eastAsia="Times New Roman" w:hAnsi="Times New Roman"/>
          <w:color w:val="000000" w:themeColor="text1"/>
          <w:sz w:val="28"/>
        </w:rPr>
        <w:t>.</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Đối với nhà thầu liên danh thì kinh nghiệm của liên danh được tính là tổng kinh nghiệm của các thành viên liên danh, tuy nhiên kinh nghiệm của mỗi thành viên chỉ xét theo phạm vi công việc mà mỗi thành viên đảm nhận trong liên danh.</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 xml:space="preserve">HSDT đạt yêu cầu về kỹ thuật khi có tổng điểm kỹ thuật đạt </w:t>
      </w:r>
      <w:r w:rsidRPr="00AA01DB">
        <w:rPr>
          <w:rFonts w:ascii="Times New Roman" w:eastAsia="Times New Roman" w:hAnsi="Times New Roman"/>
          <w:color w:val="000000" w:themeColor="text1"/>
          <w:sz w:val="28"/>
        </w:rPr>
        <w:t>≥</w:t>
      </w:r>
      <w:r w:rsidRPr="008C3331">
        <w:rPr>
          <w:rFonts w:ascii="Times New Roman" w:eastAsia="Times New Roman" w:hAnsi="Times New Roman"/>
          <w:color w:val="000000" w:themeColor="text1"/>
          <w:sz w:val="28"/>
        </w:rPr>
        <w:t xml:space="preserve"> 70% và phải đạt điểm tối thiểu. </w:t>
      </w:r>
      <w:r w:rsidR="00283DA1" w:rsidRPr="008C3331">
        <w:rPr>
          <w:rFonts w:ascii="Times New Roman" w:eastAsia="Times New Roman" w:hAnsi="Times New Roman"/>
          <w:color w:val="000000" w:themeColor="text1"/>
          <w:sz w:val="28"/>
        </w:rPr>
        <w:t xml:space="preserve">Khi </w:t>
      </w:r>
      <w:r w:rsidRPr="008C3331">
        <w:rPr>
          <w:rFonts w:ascii="Times New Roman" w:eastAsia="Times New Roman" w:hAnsi="Times New Roman"/>
          <w:color w:val="000000" w:themeColor="text1"/>
          <w:sz w:val="28"/>
        </w:rPr>
        <w:t>đó HSDT sẽ được tiếp tục đánh giá về tài chính.</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lastRenderedPageBreak/>
        <w:t>HSDT có tổng điểm kỹ thuật</w:t>
      </w:r>
      <w:r w:rsidR="007B6A3A">
        <w:rPr>
          <w:rFonts w:ascii="Times New Roman" w:eastAsia="Times New Roman" w:hAnsi="Times New Roman"/>
          <w:color w:val="000000" w:themeColor="text1"/>
          <w:sz w:val="28"/>
        </w:rPr>
        <w:t xml:space="preserve"> đạt </w:t>
      </w:r>
      <w:r w:rsidRPr="00AA01DB">
        <w:rPr>
          <w:rFonts w:ascii="Times New Roman" w:eastAsia="Times New Roman" w:hAnsi="Times New Roman"/>
          <w:color w:val="000000" w:themeColor="text1"/>
          <w:sz w:val="28"/>
        </w:rPr>
        <w:t>&lt;</w:t>
      </w:r>
      <w:r w:rsidRPr="008C3331">
        <w:rPr>
          <w:rFonts w:ascii="Times New Roman" w:eastAsia="Times New Roman" w:hAnsi="Times New Roman"/>
          <w:color w:val="000000" w:themeColor="text1"/>
          <w:sz w:val="28"/>
        </w:rPr>
        <w:t xml:space="preserve"> 70</w:t>
      </w:r>
      <w:proofErr w:type="gramStart"/>
      <w:r w:rsidRPr="008C3331">
        <w:rPr>
          <w:rFonts w:ascii="Times New Roman" w:eastAsia="Times New Roman" w:hAnsi="Times New Roman"/>
          <w:color w:val="000000" w:themeColor="text1"/>
          <w:sz w:val="28"/>
        </w:rPr>
        <w:t>%  hoặc</w:t>
      </w:r>
      <w:proofErr w:type="gramEnd"/>
      <w:r w:rsidRPr="008C3331">
        <w:rPr>
          <w:rFonts w:ascii="Times New Roman" w:eastAsia="Times New Roman" w:hAnsi="Times New Roman"/>
          <w:color w:val="000000" w:themeColor="text1"/>
          <w:sz w:val="28"/>
        </w:rPr>
        <w:t xml:space="preserve"> không đạt điểm tối thiểu ở bất kỳ mục có yêu cầu điểm tối thiểu thì HSDT đó sẽ bị loại và không được đánh giá tiếp ở các phần tiếp theo.</w:t>
      </w:r>
    </w:p>
    <w:p w:rsidR="000E6A3B" w:rsidRPr="00AA01DB" w:rsidRDefault="000E6A3B" w:rsidP="00AA01DB">
      <w:pPr>
        <w:spacing w:before="60" w:after="60"/>
        <w:ind w:firstLine="567"/>
        <w:jc w:val="both"/>
        <w:rPr>
          <w:rFonts w:ascii="Times New Roman" w:eastAsia="Times New Roman" w:hAnsi="Times New Roman"/>
          <w:b/>
          <w:color w:val="000000" w:themeColor="text1"/>
          <w:sz w:val="28"/>
        </w:rPr>
      </w:pPr>
      <w:r w:rsidRPr="008C3331">
        <w:rPr>
          <w:rFonts w:ascii="Times New Roman" w:eastAsia="Times New Roman" w:hAnsi="Times New Roman"/>
          <w:b/>
          <w:color w:val="000000" w:themeColor="text1"/>
          <w:sz w:val="28"/>
        </w:rPr>
        <w:t>Mục 3. Tiêu chuẩn đánh giá về tài chính</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Phương pháp đánh giá: kết hợp giữa kỹ thuật và giá</w:t>
      </w:r>
      <w:r w:rsidR="00283DA1" w:rsidRPr="008C3331">
        <w:rPr>
          <w:rFonts w:ascii="Times New Roman" w:eastAsia="Times New Roman" w:hAnsi="Times New Roman"/>
          <w:color w:val="000000" w:themeColor="text1"/>
          <w:sz w:val="28"/>
        </w:rPr>
        <w:t>.</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Xác định điểm giá:</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 xml:space="preserve">Nhà thầu được xem xét đánh giá là các nhà thầu đã vượt qua bước đánh giá về kỹ thuật trong gói thầu tư vấn nêu trên (có điểm kỹ thuật </w:t>
      </w:r>
      <w:r w:rsidRPr="00AA01DB">
        <w:rPr>
          <w:rFonts w:ascii="Times New Roman" w:eastAsia="Times New Roman" w:hAnsi="Times New Roman"/>
          <w:color w:val="000000" w:themeColor="text1"/>
          <w:sz w:val="28"/>
        </w:rPr>
        <w:t>≥</w:t>
      </w:r>
      <w:r w:rsidR="00321DED">
        <w:rPr>
          <w:rFonts w:ascii="Times New Roman" w:eastAsia="Times New Roman" w:hAnsi="Times New Roman"/>
          <w:color w:val="000000" w:themeColor="text1"/>
          <w:sz w:val="28"/>
        </w:rPr>
        <w:t xml:space="preserve"> 70).</w:t>
      </w:r>
    </w:p>
    <w:p w:rsidR="000E6A3B" w:rsidRPr="008C3331" w:rsidRDefault="000E6A3B" w:rsidP="00AA01DB">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Thang điểm sử dụng = 100</w:t>
      </w:r>
      <w:r w:rsidR="00321DED">
        <w:rPr>
          <w:rFonts w:ascii="Times New Roman" w:eastAsia="Times New Roman" w:hAnsi="Times New Roman"/>
          <w:color w:val="000000" w:themeColor="text1"/>
          <w:sz w:val="28"/>
        </w:rPr>
        <w:t>.</w:t>
      </w:r>
    </w:p>
    <w:p w:rsidR="000E6A3B" w:rsidRPr="00A800D5" w:rsidRDefault="000E6A3B" w:rsidP="00AA01DB">
      <w:pPr>
        <w:spacing w:before="60" w:after="60"/>
        <w:ind w:firstLine="567"/>
        <w:jc w:val="both"/>
        <w:rPr>
          <w:rFonts w:ascii="Times New Roman" w:eastAsia="Times New Roman" w:hAnsi="Times New Roman"/>
          <w:b/>
          <w:color w:val="000000" w:themeColor="text1"/>
          <w:sz w:val="28"/>
        </w:rPr>
      </w:pPr>
      <w:r w:rsidRPr="00A800D5">
        <w:rPr>
          <w:rFonts w:ascii="Times New Roman" w:eastAsia="Times New Roman" w:hAnsi="Times New Roman"/>
          <w:b/>
          <w:color w:val="000000" w:themeColor="text1"/>
          <w:sz w:val="28"/>
        </w:rPr>
        <w:t>Điểm giá được xác định như sau:</w:t>
      </w:r>
    </w:p>
    <w:p w:rsidR="000E6A3B" w:rsidRPr="008C3331" w:rsidRDefault="000E6A3B" w:rsidP="00AA01DB">
      <w:pPr>
        <w:spacing w:before="60" w:after="60"/>
        <w:ind w:firstLine="567"/>
        <w:jc w:val="center"/>
        <w:rPr>
          <w:rFonts w:ascii="Times New Roman" w:eastAsia="Times New Roman" w:hAnsi="Times New Roman"/>
          <w:b/>
          <w:color w:val="000000" w:themeColor="text1"/>
          <w:sz w:val="18"/>
        </w:rPr>
      </w:pPr>
      <w:r w:rsidRPr="008C3331">
        <w:rPr>
          <w:rFonts w:ascii="Times New Roman" w:eastAsia="Times New Roman" w:hAnsi="Times New Roman"/>
          <w:b/>
          <w:color w:val="000000" w:themeColor="text1"/>
          <w:sz w:val="28"/>
        </w:rPr>
        <w:t>Điểm giá</w:t>
      </w:r>
      <w:r w:rsidRPr="008C3331">
        <w:rPr>
          <w:rFonts w:ascii="Times New Roman" w:eastAsia="Times New Roman" w:hAnsi="Times New Roman"/>
          <w:b/>
          <w:color w:val="000000" w:themeColor="text1"/>
          <w:sz w:val="18"/>
        </w:rPr>
        <w:t>đang xét</w:t>
      </w:r>
      <w:r w:rsidRPr="008C3331">
        <w:rPr>
          <w:rFonts w:ascii="Times New Roman" w:eastAsia="Times New Roman" w:hAnsi="Times New Roman"/>
          <w:b/>
          <w:color w:val="000000" w:themeColor="text1"/>
          <w:sz w:val="28"/>
        </w:rPr>
        <w:t xml:space="preserve"> = (G</w:t>
      </w:r>
      <w:r w:rsidRPr="008C3331">
        <w:rPr>
          <w:rFonts w:ascii="Times New Roman" w:eastAsia="Times New Roman" w:hAnsi="Times New Roman"/>
          <w:b/>
          <w:color w:val="000000" w:themeColor="text1"/>
          <w:sz w:val="18"/>
        </w:rPr>
        <w:t>thấp nhất</w:t>
      </w:r>
      <w:r w:rsidRPr="008C3331">
        <w:rPr>
          <w:rFonts w:ascii="Times New Roman" w:eastAsia="Times New Roman" w:hAnsi="Times New Roman"/>
          <w:b/>
          <w:color w:val="000000" w:themeColor="text1"/>
          <w:sz w:val="28"/>
        </w:rPr>
        <w:t xml:space="preserve"> x 100)/G</w:t>
      </w:r>
      <w:r w:rsidRPr="008C3331">
        <w:rPr>
          <w:rFonts w:ascii="Times New Roman" w:eastAsia="Times New Roman" w:hAnsi="Times New Roman"/>
          <w:b/>
          <w:color w:val="000000" w:themeColor="text1"/>
          <w:sz w:val="18"/>
        </w:rPr>
        <w:t>đang xét</w:t>
      </w:r>
    </w:p>
    <w:p w:rsidR="000E6A3B" w:rsidRPr="008C3331" w:rsidRDefault="000E6A3B" w:rsidP="00165826">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Trong đó:</w:t>
      </w:r>
    </w:p>
    <w:p w:rsidR="000E6A3B" w:rsidRPr="008C3331" w:rsidRDefault="00AA01DB"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Điểm giá</w:t>
      </w:r>
      <w:r w:rsidR="000E6A3B" w:rsidRPr="008C3331">
        <w:rPr>
          <w:rFonts w:ascii="Times New Roman" w:eastAsia="Times New Roman" w:hAnsi="Times New Roman"/>
          <w:color w:val="000000" w:themeColor="text1"/>
          <w:sz w:val="36"/>
          <w:vertAlign w:val="subscript"/>
        </w:rPr>
        <w:t>đang xét</w:t>
      </w:r>
      <w:r w:rsidR="000E6A3B" w:rsidRPr="008C3331">
        <w:rPr>
          <w:rFonts w:ascii="Times New Roman" w:eastAsia="Times New Roman" w:hAnsi="Times New Roman"/>
          <w:color w:val="000000" w:themeColor="text1"/>
          <w:sz w:val="28"/>
        </w:rPr>
        <w:t>: Là điểm giá của HSĐXTC đang xét;</w:t>
      </w:r>
    </w:p>
    <w:p w:rsidR="000E6A3B" w:rsidRPr="008C3331" w:rsidRDefault="00AA01DB" w:rsidP="00704DBC">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G</w:t>
      </w:r>
      <w:r w:rsidR="000E6A3B" w:rsidRPr="008C3331">
        <w:rPr>
          <w:rFonts w:ascii="Times New Roman" w:eastAsia="Times New Roman" w:hAnsi="Times New Roman"/>
          <w:color w:val="000000" w:themeColor="text1"/>
          <w:sz w:val="36"/>
          <w:vertAlign w:val="subscript"/>
        </w:rPr>
        <w:t>thấp nhất</w:t>
      </w:r>
      <w:r w:rsidR="000E6A3B" w:rsidRPr="008C3331">
        <w:rPr>
          <w:rFonts w:ascii="Times New Roman" w:eastAsia="Times New Roman" w:hAnsi="Times New Roman"/>
          <w:color w:val="000000" w:themeColor="text1"/>
          <w:sz w:val="28"/>
        </w:rPr>
        <w:t>: Là giá dự thầu sau sửa lỗi, hiệu chỉnh sai lệch, trừ đi giá trị giảm giá (nếu có) thấp nhất trong số các nhà thầu được đánh giá chi tiết về tài chính;</w:t>
      </w:r>
    </w:p>
    <w:p w:rsidR="000E6A3B" w:rsidRPr="008C3331" w:rsidRDefault="00AA01DB" w:rsidP="00704DBC">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G</w:t>
      </w:r>
      <w:r w:rsidR="000E6A3B" w:rsidRPr="008C3331">
        <w:rPr>
          <w:rFonts w:ascii="Times New Roman" w:eastAsia="Times New Roman" w:hAnsi="Times New Roman"/>
          <w:color w:val="000000" w:themeColor="text1"/>
          <w:sz w:val="36"/>
          <w:vertAlign w:val="subscript"/>
        </w:rPr>
        <w:t>đang xét</w:t>
      </w:r>
      <w:r w:rsidR="000E6A3B" w:rsidRPr="008C3331">
        <w:rPr>
          <w:rFonts w:ascii="Times New Roman" w:eastAsia="Times New Roman" w:hAnsi="Times New Roman"/>
          <w:color w:val="000000" w:themeColor="text1"/>
          <w:sz w:val="28"/>
        </w:rPr>
        <w:t>: Là giá dự thầu sau sửa lỗi, hiệu chỉnh sai lệch, trừ đi giá trị giảm giá (nếu có) của HSĐXTC đang xét.</w:t>
      </w:r>
    </w:p>
    <w:p w:rsidR="000E6A3B" w:rsidRPr="008C3331" w:rsidRDefault="00AA01DB"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Tiêu chuẩn đánh giá tổng hợp:</w:t>
      </w:r>
    </w:p>
    <w:p w:rsidR="000E6A3B" w:rsidRPr="00A800D5" w:rsidRDefault="000E6A3B" w:rsidP="00AA01DB">
      <w:pPr>
        <w:spacing w:before="60" w:after="60"/>
        <w:ind w:firstLine="567"/>
        <w:jc w:val="both"/>
        <w:rPr>
          <w:rFonts w:ascii="Times New Roman" w:eastAsia="Times New Roman" w:hAnsi="Times New Roman"/>
          <w:b/>
          <w:color w:val="000000" w:themeColor="text1"/>
          <w:sz w:val="28"/>
        </w:rPr>
      </w:pPr>
      <w:r w:rsidRPr="00A800D5">
        <w:rPr>
          <w:rFonts w:ascii="Times New Roman" w:eastAsia="Times New Roman" w:hAnsi="Times New Roman"/>
          <w:b/>
          <w:color w:val="000000" w:themeColor="text1"/>
          <w:sz w:val="28"/>
        </w:rPr>
        <w:t>Điểm tổng hợp được xác định theo công thức sau:</w:t>
      </w:r>
    </w:p>
    <w:p w:rsidR="000E6A3B" w:rsidRPr="008C3331" w:rsidRDefault="000E6A3B" w:rsidP="00607989">
      <w:pPr>
        <w:spacing w:before="60" w:after="60"/>
        <w:ind w:firstLine="567"/>
        <w:jc w:val="center"/>
        <w:rPr>
          <w:rFonts w:ascii="Times New Roman" w:eastAsia="Times New Roman" w:hAnsi="Times New Roman"/>
          <w:b/>
          <w:color w:val="000000" w:themeColor="text1"/>
          <w:sz w:val="18"/>
        </w:rPr>
      </w:pPr>
      <w:r w:rsidRPr="008C3331">
        <w:rPr>
          <w:rFonts w:ascii="Times New Roman" w:eastAsia="Times New Roman" w:hAnsi="Times New Roman"/>
          <w:b/>
          <w:color w:val="000000" w:themeColor="text1"/>
          <w:sz w:val="28"/>
        </w:rPr>
        <w:t>Điểm tổng hợp</w:t>
      </w:r>
      <w:r w:rsidRPr="008C3331">
        <w:rPr>
          <w:rFonts w:ascii="Times New Roman" w:eastAsia="Times New Roman" w:hAnsi="Times New Roman"/>
          <w:b/>
          <w:color w:val="000000" w:themeColor="text1"/>
          <w:sz w:val="18"/>
        </w:rPr>
        <w:t>đang xét</w:t>
      </w:r>
      <w:r w:rsidRPr="008C3331">
        <w:rPr>
          <w:rFonts w:ascii="Times New Roman" w:eastAsia="Times New Roman" w:hAnsi="Times New Roman"/>
          <w:b/>
          <w:color w:val="000000" w:themeColor="text1"/>
          <w:sz w:val="28"/>
        </w:rPr>
        <w:t xml:space="preserve"> = K </w:t>
      </w:r>
      <w:r w:rsidRPr="008C3331">
        <w:rPr>
          <w:rFonts w:ascii="Times New Roman" w:eastAsia="Times New Roman" w:hAnsi="Times New Roman"/>
          <w:color w:val="000000" w:themeColor="text1"/>
          <w:sz w:val="28"/>
        </w:rPr>
        <w:t>x</w:t>
      </w:r>
      <w:r w:rsidRPr="008C3331">
        <w:rPr>
          <w:rFonts w:ascii="Times New Roman" w:eastAsia="Times New Roman" w:hAnsi="Times New Roman"/>
          <w:b/>
          <w:color w:val="000000" w:themeColor="text1"/>
          <w:sz w:val="28"/>
        </w:rPr>
        <w:t xml:space="preserve"> Điểm kỹ thuật</w:t>
      </w:r>
      <w:r w:rsidRPr="008C3331">
        <w:rPr>
          <w:rFonts w:ascii="Times New Roman" w:eastAsia="Times New Roman" w:hAnsi="Times New Roman"/>
          <w:b/>
          <w:color w:val="000000" w:themeColor="text1"/>
          <w:sz w:val="18"/>
        </w:rPr>
        <w:t>đang xét</w:t>
      </w:r>
      <w:r w:rsidRPr="008C3331">
        <w:rPr>
          <w:rFonts w:ascii="Times New Roman" w:eastAsia="Times New Roman" w:hAnsi="Times New Roman"/>
          <w:b/>
          <w:color w:val="000000" w:themeColor="text1"/>
          <w:sz w:val="28"/>
        </w:rPr>
        <w:t xml:space="preserve"> + G </w:t>
      </w:r>
      <w:r w:rsidRPr="008C3331">
        <w:rPr>
          <w:rFonts w:ascii="Times New Roman" w:eastAsia="Times New Roman" w:hAnsi="Times New Roman"/>
          <w:color w:val="000000" w:themeColor="text1"/>
          <w:sz w:val="28"/>
        </w:rPr>
        <w:t>x</w:t>
      </w:r>
      <w:r w:rsidRPr="008C3331">
        <w:rPr>
          <w:rFonts w:ascii="Times New Roman" w:eastAsia="Times New Roman" w:hAnsi="Times New Roman"/>
          <w:b/>
          <w:color w:val="000000" w:themeColor="text1"/>
          <w:sz w:val="28"/>
        </w:rPr>
        <w:t xml:space="preserve"> Điểm giá</w:t>
      </w:r>
      <w:r w:rsidRPr="008C3331">
        <w:rPr>
          <w:rFonts w:ascii="Times New Roman" w:eastAsia="Times New Roman" w:hAnsi="Times New Roman"/>
          <w:b/>
          <w:color w:val="000000" w:themeColor="text1"/>
          <w:sz w:val="18"/>
        </w:rPr>
        <w:t>đang xét</w:t>
      </w:r>
    </w:p>
    <w:p w:rsidR="000E6A3B" w:rsidRPr="008C3331" w:rsidRDefault="000E6A3B" w:rsidP="00165826">
      <w:pPr>
        <w:spacing w:before="60" w:after="60"/>
        <w:ind w:firstLine="567"/>
        <w:jc w:val="both"/>
        <w:rPr>
          <w:rFonts w:ascii="Times New Roman" w:eastAsia="Times New Roman" w:hAnsi="Times New Roman"/>
          <w:color w:val="000000" w:themeColor="text1"/>
          <w:sz w:val="28"/>
        </w:rPr>
      </w:pPr>
      <w:r w:rsidRPr="008C3331">
        <w:rPr>
          <w:rFonts w:ascii="Times New Roman" w:eastAsia="Times New Roman" w:hAnsi="Times New Roman"/>
          <w:color w:val="000000" w:themeColor="text1"/>
          <w:sz w:val="28"/>
        </w:rPr>
        <w:t>Trong đó:</w:t>
      </w:r>
    </w:p>
    <w:p w:rsidR="000E6A3B" w:rsidRPr="008C3331" w:rsidRDefault="00607989"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Điểm kỹ thuật</w:t>
      </w:r>
      <w:r w:rsidR="000E6A3B" w:rsidRPr="008C3331">
        <w:rPr>
          <w:rFonts w:ascii="Times New Roman" w:eastAsia="Times New Roman" w:hAnsi="Times New Roman"/>
          <w:color w:val="000000" w:themeColor="text1"/>
          <w:sz w:val="36"/>
          <w:vertAlign w:val="subscript"/>
        </w:rPr>
        <w:t>đang xét</w:t>
      </w:r>
      <w:r w:rsidR="000E6A3B" w:rsidRPr="008C3331">
        <w:rPr>
          <w:rFonts w:ascii="Times New Roman" w:eastAsia="Times New Roman" w:hAnsi="Times New Roman"/>
          <w:color w:val="000000" w:themeColor="text1"/>
          <w:sz w:val="28"/>
        </w:rPr>
        <w:t>: Là số điểm được xác định tại bước đánh giá về kỹ</w:t>
      </w:r>
      <w:r w:rsidR="005508A7">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thuật;</w:t>
      </w:r>
    </w:p>
    <w:p w:rsidR="000E6A3B" w:rsidRPr="008C3331" w:rsidRDefault="00607989"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Điểm giá</w:t>
      </w:r>
      <w:r w:rsidR="000E6A3B" w:rsidRPr="008C3331">
        <w:rPr>
          <w:rFonts w:ascii="Times New Roman" w:eastAsia="Times New Roman" w:hAnsi="Times New Roman"/>
          <w:color w:val="000000" w:themeColor="text1"/>
          <w:sz w:val="36"/>
          <w:vertAlign w:val="subscript"/>
        </w:rPr>
        <w:t>đang xét</w:t>
      </w:r>
      <w:r w:rsidR="000E6A3B" w:rsidRPr="008C3331">
        <w:rPr>
          <w:rFonts w:ascii="Times New Roman" w:eastAsia="Times New Roman" w:hAnsi="Times New Roman"/>
          <w:color w:val="000000" w:themeColor="text1"/>
          <w:sz w:val="28"/>
        </w:rPr>
        <w:t>: Là số điểm được xác định tại bước đánh giá về giá;</w:t>
      </w:r>
    </w:p>
    <w:p w:rsidR="000E6A3B" w:rsidRPr="008C3331" w:rsidRDefault="00607989"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K: Tỷ trọng điểm về kỹ thuật quy định trong thang điểm tổng hợp</w:t>
      </w:r>
      <w:r w:rsidR="00A81D81" w:rsidRPr="008C3331">
        <w:rPr>
          <w:rFonts w:ascii="Times New Roman" w:eastAsia="Times New Roman" w:hAnsi="Times New Roman"/>
          <w:color w:val="000000" w:themeColor="text1"/>
          <w:sz w:val="28"/>
        </w:rPr>
        <w:t>,</w:t>
      </w:r>
      <w:r w:rsidR="005508A7">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 xml:space="preserve">chiếm </w:t>
      </w:r>
      <w:r w:rsidR="00596384">
        <w:rPr>
          <w:rFonts w:ascii="Times New Roman" w:eastAsia="Times New Roman" w:hAnsi="Times New Roman"/>
          <w:color w:val="000000" w:themeColor="text1"/>
          <w:sz w:val="28"/>
        </w:rPr>
        <w:t>80</w:t>
      </w:r>
      <w:r w:rsidR="000E6A3B" w:rsidRPr="008C3331">
        <w:rPr>
          <w:rFonts w:ascii="Times New Roman" w:eastAsia="Times New Roman" w:hAnsi="Times New Roman"/>
          <w:color w:val="000000" w:themeColor="text1"/>
          <w:sz w:val="28"/>
        </w:rPr>
        <w:t>%;</w:t>
      </w:r>
    </w:p>
    <w:p w:rsidR="000E6A3B" w:rsidRPr="008C3331" w:rsidRDefault="00607989"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G: Tỷ trọng điểm về giá quy định trong thang điểm tổng hợp</w:t>
      </w:r>
      <w:r w:rsidR="00A81D81" w:rsidRPr="008C3331">
        <w:rPr>
          <w:rFonts w:ascii="Times New Roman" w:eastAsia="Times New Roman" w:hAnsi="Times New Roman"/>
          <w:color w:val="000000" w:themeColor="text1"/>
          <w:sz w:val="28"/>
        </w:rPr>
        <w:t>,</w:t>
      </w:r>
      <w:r w:rsidR="000E6A3B" w:rsidRPr="008C3331">
        <w:rPr>
          <w:rFonts w:ascii="Times New Roman" w:eastAsia="Times New Roman" w:hAnsi="Times New Roman"/>
          <w:color w:val="000000" w:themeColor="text1"/>
          <w:sz w:val="28"/>
        </w:rPr>
        <w:t xml:space="preserve"> chiếm </w:t>
      </w:r>
      <w:r w:rsidR="00BA5068">
        <w:rPr>
          <w:rFonts w:ascii="Times New Roman" w:eastAsia="Times New Roman" w:hAnsi="Times New Roman"/>
          <w:color w:val="000000" w:themeColor="text1"/>
          <w:sz w:val="28"/>
        </w:rPr>
        <w:t>2</w:t>
      </w:r>
      <w:r w:rsidR="00596384">
        <w:rPr>
          <w:rFonts w:ascii="Times New Roman" w:eastAsia="Times New Roman" w:hAnsi="Times New Roman"/>
          <w:color w:val="000000" w:themeColor="text1"/>
          <w:sz w:val="28"/>
        </w:rPr>
        <w:t>0</w:t>
      </w:r>
      <w:r w:rsidR="000E6A3B" w:rsidRPr="008C3331">
        <w:rPr>
          <w:rFonts w:ascii="Times New Roman" w:eastAsia="Times New Roman" w:hAnsi="Times New Roman"/>
          <w:color w:val="000000" w:themeColor="text1"/>
          <w:sz w:val="28"/>
        </w:rPr>
        <w:t>%;</w:t>
      </w:r>
    </w:p>
    <w:p w:rsidR="000E6A3B" w:rsidRPr="008C3331" w:rsidRDefault="00607989" w:rsidP="00165826">
      <w:pPr>
        <w:spacing w:before="60" w:after="60"/>
        <w:ind w:firstLine="567"/>
        <w:jc w:val="both"/>
        <w:rPr>
          <w:rFonts w:ascii="Times New Roman" w:eastAsia="Times New Roman" w:hAnsi="Times New Roman"/>
          <w:color w:val="000000" w:themeColor="text1"/>
          <w:sz w:val="28"/>
        </w:rPr>
      </w:pPr>
      <w:r>
        <w:rPr>
          <w:rFonts w:ascii="Times New Roman" w:eastAsia="Times New Roman" w:hAnsi="Times New Roman"/>
          <w:color w:val="000000" w:themeColor="text1"/>
          <w:sz w:val="28"/>
        </w:rPr>
        <w:t xml:space="preserve">- </w:t>
      </w:r>
      <w:r w:rsidR="000E6A3B" w:rsidRPr="008C3331">
        <w:rPr>
          <w:rFonts w:ascii="Times New Roman" w:eastAsia="Times New Roman" w:hAnsi="Times New Roman"/>
          <w:color w:val="000000" w:themeColor="text1"/>
          <w:sz w:val="28"/>
        </w:rPr>
        <w:t xml:space="preserve">K + G = 100%. </w:t>
      </w:r>
    </w:p>
    <w:p w:rsidR="00A1038E" w:rsidRPr="008C3331" w:rsidRDefault="000E6A3B" w:rsidP="001A30C2">
      <w:pPr>
        <w:spacing w:before="60" w:after="60"/>
        <w:ind w:firstLine="567"/>
        <w:jc w:val="both"/>
        <w:rPr>
          <w:color w:val="000000" w:themeColor="text1"/>
        </w:rPr>
      </w:pPr>
      <w:r w:rsidRPr="008C3331">
        <w:rPr>
          <w:rFonts w:ascii="Times New Roman" w:eastAsia="Times New Roman" w:hAnsi="Times New Roman"/>
          <w:color w:val="000000" w:themeColor="text1"/>
          <w:sz w:val="28"/>
        </w:rPr>
        <w:t>Xác định điểm</w:t>
      </w:r>
      <w:r w:rsidR="001A30C2">
        <w:rPr>
          <w:rFonts w:ascii="Times New Roman" w:eastAsia="Times New Roman" w:hAnsi="Times New Roman"/>
          <w:color w:val="000000" w:themeColor="text1"/>
          <w:sz w:val="28"/>
        </w:rPr>
        <w:t xml:space="preserve"> tổng hợp ưu đãi (nếu có).</w:t>
      </w:r>
      <w:bookmarkStart w:id="2" w:name="page3"/>
      <w:bookmarkEnd w:id="2"/>
    </w:p>
    <w:sectPr w:rsidR="00A1038E" w:rsidRPr="008C3331" w:rsidSect="005E57D5">
      <w:pgSz w:w="11900" w:h="16841"/>
      <w:pgMar w:top="1112" w:right="1066" w:bottom="705" w:left="144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F3347A4"/>
    <w:multiLevelType w:val="hybridMultilevel"/>
    <w:tmpl w:val="79AA0EB0"/>
    <w:lvl w:ilvl="0" w:tplc="3F3A2890">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680589F"/>
    <w:multiLevelType w:val="hybridMultilevel"/>
    <w:tmpl w:val="F0C6875A"/>
    <w:lvl w:ilvl="0" w:tplc="21C62FD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57953AE7"/>
    <w:multiLevelType w:val="hybridMultilevel"/>
    <w:tmpl w:val="4D449ADC"/>
    <w:lvl w:ilvl="0" w:tplc="CFCEAE04">
      <w:start w:val="4"/>
      <w:numFmt w:val="bullet"/>
      <w:lvlText w:val="-"/>
      <w:lvlJc w:val="left"/>
      <w:pPr>
        <w:ind w:left="1186" w:hanging="360"/>
      </w:pPr>
      <w:rPr>
        <w:rFonts w:ascii="Times New Roman" w:eastAsia="Times New Roman"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C90E41"/>
    <w:rsid w:val="00006B2E"/>
    <w:rsid w:val="00021F14"/>
    <w:rsid w:val="000460CA"/>
    <w:rsid w:val="00056E0F"/>
    <w:rsid w:val="00076ACB"/>
    <w:rsid w:val="0007795C"/>
    <w:rsid w:val="0008279C"/>
    <w:rsid w:val="00090456"/>
    <w:rsid w:val="000906F0"/>
    <w:rsid w:val="000D0745"/>
    <w:rsid w:val="000E48AB"/>
    <w:rsid w:val="000E544E"/>
    <w:rsid w:val="000E6343"/>
    <w:rsid w:val="000E6A3B"/>
    <w:rsid w:val="000E74B0"/>
    <w:rsid w:val="000E7A26"/>
    <w:rsid w:val="00106D8E"/>
    <w:rsid w:val="00114A75"/>
    <w:rsid w:val="0011769F"/>
    <w:rsid w:val="00130C57"/>
    <w:rsid w:val="00165826"/>
    <w:rsid w:val="00173F73"/>
    <w:rsid w:val="00186A20"/>
    <w:rsid w:val="00197CF8"/>
    <w:rsid w:val="001A30C2"/>
    <w:rsid w:val="001B0C33"/>
    <w:rsid w:val="001B3593"/>
    <w:rsid w:val="001C384D"/>
    <w:rsid w:val="001C5300"/>
    <w:rsid w:val="001F3B23"/>
    <w:rsid w:val="00226F5E"/>
    <w:rsid w:val="00227792"/>
    <w:rsid w:val="0023743A"/>
    <w:rsid w:val="00251464"/>
    <w:rsid w:val="00283DA1"/>
    <w:rsid w:val="00297DB5"/>
    <w:rsid w:val="002A04B3"/>
    <w:rsid w:val="002A51D8"/>
    <w:rsid w:val="002B040C"/>
    <w:rsid w:val="002D5879"/>
    <w:rsid w:val="002D72DE"/>
    <w:rsid w:val="002E45ED"/>
    <w:rsid w:val="002E7A39"/>
    <w:rsid w:val="002F2902"/>
    <w:rsid w:val="00302185"/>
    <w:rsid w:val="00320012"/>
    <w:rsid w:val="00321DED"/>
    <w:rsid w:val="00337C56"/>
    <w:rsid w:val="003451B7"/>
    <w:rsid w:val="00355558"/>
    <w:rsid w:val="00361663"/>
    <w:rsid w:val="00364DA3"/>
    <w:rsid w:val="003726BE"/>
    <w:rsid w:val="003729F0"/>
    <w:rsid w:val="003766D7"/>
    <w:rsid w:val="0038230C"/>
    <w:rsid w:val="00391A24"/>
    <w:rsid w:val="003D4715"/>
    <w:rsid w:val="003E38D6"/>
    <w:rsid w:val="003E3E6E"/>
    <w:rsid w:val="003F00E9"/>
    <w:rsid w:val="00411D53"/>
    <w:rsid w:val="00414E99"/>
    <w:rsid w:val="00415739"/>
    <w:rsid w:val="0044545A"/>
    <w:rsid w:val="00457A29"/>
    <w:rsid w:val="00463FC9"/>
    <w:rsid w:val="00475BCC"/>
    <w:rsid w:val="00481A6D"/>
    <w:rsid w:val="004935E7"/>
    <w:rsid w:val="00497EC3"/>
    <w:rsid w:val="004D031A"/>
    <w:rsid w:val="0050444E"/>
    <w:rsid w:val="00510BED"/>
    <w:rsid w:val="00523069"/>
    <w:rsid w:val="00540C77"/>
    <w:rsid w:val="005508A7"/>
    <w:rsid w:val="00596384"/>
    <w:rsid w:val="005B1C08"/>
    <w:rsid w:val="005B6027"/>
    <w:rsid w:val="005E57D5"/>
    <w:rsid w:val="005F70BC"/>
    <w:rsid w:val="00607989"/>
    <w:rsid w:val="00621CDB"/>
    <w:rsid w:val="006279BC"/>
    <w:rsid w:val="00651B08"/>
    <w:rsid w:val="006524C2"/>
    <w:rsid w:val="0065412F"/>
    <w:rsid w:val="00661B1E"/>
    <w:rsid w:val="00662DA7"/>
    <w:rsid w:val="00677D80"/>
    <w:rsid w:val="00687C8A"/>
    <w:rsid w:val="006B465A"/>
    <w:rsid w:val="006C371C"/>
    <w:rsid w:val="006D0382"/>
    <w:rsid w:val="006D1BFC"/>
    <w:rsid w:val="006D5C51"/>
    <w:rsid w:val="006E7826"/>
    <w:rsid w:val="006F282A"/>
    <w:rsid w:val="00704DBC"/>
    <w:rsid w:val="0070750A"/>
    <w:rsid w:val="007176AE"/>
    <w:rsid w:val="0074014D"/>
    <w:rsid w:val="007514BE"/>
    <w:rsid w:val="0076152F"/>
    <w:rsid w:val="007772D5"/>
    <w:rsid w:val="007870CE"/>
    <w:rsid w:val="007903C3"/>
    <w:rsid w:val="007967E9"/>
    <w:rsid w:val="007B4102"/>
    <w:rsid w:val="007B5AA0"/>
    <w:rsid w:val="007B6A3A"/>
    <w:rsid w:val="007B7F1D"/>
    <w:rsid w:val="007C5DBF"/>
    <w:rsid w:val="007E3449"/>
    <w:rsid w:val="007F373B"/>
    <w:rsid w:val="00804819"/>
    <w:rsid w:val="008059C2"/>
    <w:rsid w:val="00807684"/>
    <w:rsid w:val="00810C36"/>
    <w:rsid w:val="0082182A"/>
    <w:rsid w:val="008228C7"/>
    <w:rsid w:val="00831CEB"/>
    <w:rsid w:val="008347BB"/>
    <w:rsid w:val="00841C5F"/>
    <w:rsid w:val="00854C49"/>
    <w:rsid w:val="00855A24"/>
    <w:rsid w:val="0088574E"/>
    <w:rsid w:val="00894368"/>
    <w:rsid w:val="008B00AE"/>
    <w:rsid w:val="008B3106"/>
    <w:rsid w:val="008C2623"/>
    <w:rsid w:val="008C3331"/>
    <w:rsid w:val="008D1A85"/>
    <w:rsid w:val="008D1ACE"/>
    <w:rsid w:val="008E4660"/>
    <w:rsid w:val="008F76F1"/>
    <w:rsid w:val="00913FA2"/>
    <w:rsid w:val="0092450B"/>
    <w:rsid w:val="00944FC0"/>
    <w:rsid w:val="009463B8"/>
    <w:rsid w:val="00961806"/>
    <w:rsid w:val="00966324"/>
    <w:rsid w:val="0098539B"/>
    <w:rsid w:val="00991921"/>
    <w:rsid w:val="009A2720"/>
    <w:rsid w:val="009C28D5"/>
    <w:rsid w:val="009E6D56"/>
    <w:rsid w:val="009F0599"/>
    <w:rsid w:val="009F1378"/>
    <w:rsid w:val="00A010B8"/>
    <w:rsid w:val="00A035C5"/>
    <w:rsid w:val="00A1038E"/>
    <w:rsid w:val="00A65F96"/>
    <w:rsid w:val="00A73234"/>
    <w:rsid w:val="00A800D5"/>
    <w:rsid w:val="00A81D81"/>
    <w:rsid w:val="00AA01DB"/>
    <w:rsid w:val="00AA660C"/>
    <w:rsid w:val="00AC3754"/>
    <w:rsid w:val="00AE3377"/>
    <w:rsid w:val="00AF2498"/>
    <w:rsid w:val="00B01B53"/>
    <w:rsid w:val="00B138FE"/>
    <w:rsid w:val="00B264E1"/>
    <w:rsid w:val="00B3063C"/>
    <w:rsid w:val="00B43C85"/>
    <w:rsid w:val="00B447D1"/>
    <w:rsid w:val="00B55297"/>
    <w:rsid w:val="00B61963"/>
    <w:rsid w:val="00B859A9"/>
    <w:rsid w:val="00B950C6"/>
    <w:rsid w:val="00BA4AA2"/>
    <w:rsid w:val="00BA5068"/>
    <w:rsid w:val="00BA6EDD"/>
    <w:rsid w:val="00BC657F"/>
    <w:rsid w:val="00BD0A2D"/>
    <w:rsid w:val="00BE2B97"/>
    <w:rsid w:val="00BE7CC5"/>
    <w:rsid w:val="00C13E5B"/>
    <w:rsid w:val="00C2446B"/>
    <w:rsid w:val="00C4137E"/>
    <w:rsid w:val="00C66E22"/>
    <w:rsid w:val="00C77F51"/>
    <w:rsid w:val="00C84000"/>
    <w:rsid w:val="00C841FA"/>
    <w:rsid w:val="00C90E41"/>
    <w:rsid w:val="00C92814"/>
    <w:rsid w:val="00C97853"/>
    <w:rsid w:val="00CB2100"/>
    <w:rsid w:val="00CB7BBB"/>
    <w:rsid w:val="00CC7659"/>
    <w:rsid w:val="00CD10B3"/>
    <w:rsid w:val="00CE2958"/>
    <w:rsid w:val="00D026B6"/>
    <w:rsid w:val="00D14409"/>
    <w:rsid w:val="00D2093A"/>
    <w:rsid w:val="00D218DA"/>
    <w:rsid w:val="00D30E4A"/>
    <w:rsid w:val="00D37A27"/>
    <w:rsid w:val="00D416D5"/>
    <w:rsid w:val="00D65DC2"/>
    <w:rsid w:val="00D84B9B"/>
    <w:rsid w:val="00D87837"/>
    <w:rsid w:val="00DA7E81"/>
    <w:rsid w:val="00DD6D0A"/>
    <w:rsid w:val="00DF0A6D"/>
    <w:rsid w:val="00DF6009"/>
    <w:rsid w:val="00E02F71"/>
    <w:rsid w:val="00E07338"/>
    <w:rsid w:val="00E1425E"/>
    <w:rsid w:val="00E3416B"/>
    <w:rsid w:val="00E3424E"/>
    <w:rsid w:val="00E44817"/>
    <w:rsid w:val="00E675D6"/>
    <w:rsid w:val="00E80ECD"/>
    <w:rsid w:val="00E90737"/>
    <w:rsid w:val="00E90A74"/>
    <w:rsid w:val="00EE0376"/>
    <w:rsid w:val="00EE4FD3"/>
    <w:rsid w:val="00F10F5D"/>
    <w:rsid w:val="00F12355"/>
    <w:rsid w:val="00F22CAC"/>
    <w:rsid w:val="00F2777B"/>
    <w:rsid w:val="00F55A46"/>
    <w:rsid w:val="00F57EDD"/>
    <w:rsid w:val="00F612F5"/>
    <w:rsid w:val="00F65A17"/>
    <w:rsid w:val="00F66655"/>
    <w:rsid w:val="00F8084C"/>
    <w:rsid w:val="00F8330B"/>
    <w:rsid w:val="00FB4953"/>
    <w:rsid w:val="00FB6988"/>
    <w:rsid w:val="00FB7E62"/>
    <w:rsid w:val="00FC6F6A"/>
    <w:rsid w:val="00FD06D3"/>
    <w:rsid w:val="00FE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FBE"/>
  <w15:docId w15:val="{DF10C386-5E18-4840-9E91-D808ACD0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4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MyPC</cp:lastModifiedBy>
  <cp:revision>189</cp:revision>
  <cp:lastPrinted>2020-08-28T08:08:00Z</cp:lastPrinted>
  <dcterms:created xsi:type="dcterms:W3CDTF">2020-08-06T03:08:00Z</dcterms:created>
  <dcterms:modified xsi:type="dcterms:W3CDTF">2021-12-31T09:28:00Z</dcterms:modified>
</cp:coreProperties>
</file>